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A725E" w14:textId="12CDF1A0" w:rsidR="00B23A71" w:rsidRDefault="00B23A71" w:rsidP="00B23A71">
      <w:pPr>
        <w:spacing w:after="0"/>
        <w:jc w:val="both"/>
        <w:rPr>
          <w:b/>
          <w:color w:val="86789C"/>
          <w:sz w:val="36"/>
          <w:szCs w:val="36"/>
          <w:lang w:val="fr-FR"/>
        </w:rPr>
      </w:pPr>
      <w:r w:rsidRPr="00FA58EA">
        <w:rPr>
          <w:b/>
          <w:noProof/>
          <w:color w:val="86789C"/>
          <w:sz w:val="36"/>
          <w:szCs w:val="36"/>
          <w:lang w:val="fr-FR" w:eastAsia="fr-FR"/>
        </w:rPr>
        <w:drawing>
          <wp:anchor distT="0" distB="0" distL="114300" distR="114300" simplePos="0" relativeHeight="251664384" behindDoc="1" locked="0" layoutInCell="1" allowOverlap="1" wp14:anchorId="172D678C" wp14:editId="43EA3210">
            <wp:simplePos x="0" y="0"/>
            <wp:positionH relativeFrom="margin">
              <wp:align>left</wp:align>
            </wp:positionH>
            <wp:positionV relativeFrom="paragraph">
              <wp:posOffset>6927</wp:posOffset>
            </wp:positionV>
            <wp:extent cx="572135" cy="560705"/>
            <wp:effectExtent l="0" t="0" r="0" b="0"/>
            <wp:wrapTight wrapText="bothSides">
              <wp:wrapPolygon edited="0">
                <wp:start x="0" y="0"/>
                <wp:lineTo x="0" y="20548"/>
                <wp:lineTo x="20857" y="20548"/>
                <wp:lineTo x="2085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6244" cy="5942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4D1B" w:rsidRPr="009C4D1B">
        <w:rPr>
          <w:b/>
          <w:color w:val="86789C"/>
          <w:sz w:val="36"/>
          <w:szCs w:val="36"/>
          <w:lang w:val="fr-FR"/>
        </w:rPr>
        <w:t>Étape 1 : Evaluation, identification et analyse des besoins</w:t>
      </w:r>
      <w:r w:rsidRPr="009C4D1B">
        <w:rPr>
          <w:b/>
          <w:color w:val="86789C"/>
          <w:sz w:val="36"/>
          <w:szCs w:val="36"/>
          <w:lang w:val="fr-FR"/>
        </w:rPr>
        <w:t xml:space="preserve"> </w:t>
      </w:r>
    </w:p>
    <w:p w14:paraId="290542F6" w14:textId="2D41A705" w:rsidR="009C4D1B" w:rsidRPr="009C4D1B" w:rsidRDefault="009C4D1B" w:rsidP="00B23A71">
      <w:pPr>
        <w:spacing w:after="0"/>
        <w:jc w:val="both"/>
        <w:rPr>
          <w:b/>
          <w:color w:val="86789C"/>
          <w:sz w:val="36"/>
          <w:szCs w:val="36"/>
          <w:lang w:val="fr-FR"/>
        </w:rPr>
      </w:pPr>
      <w:r w:rsidRPr="009C4D1B">
        <w:rPr>
          <w:b/>
          <w:color w:val="86789C"/>
          <w:sz w:val="36"/>
          <w:szCs w:val="36"/>
          <w:lang w:val="fr-FR"/>
        </w:rPr>
        <w:t>Pratiques</w:t>
      </w:r>
      <w:r w:rsidR="00EB151D">
        <w:rPr>
          <w:b/>
          <w:color w:val="86789C"/>
          <w:sz w:val="36"/>
          <w:szCs w:val="36"/>
          <w:lang w:val="fr-FR"/>
        </w:rPr>
        <w:t xml:space="preserve"> et ressources</w:t>
      </w:r>
      <w:r w:rsidRPr="009C4D1B">
        <w:rPr>
          <w:b/>
          <w:color w:val="86789C"/>
          <w:sz w:val="36"/>
          <w:szCs w:val="36"/>
          <w:lang w:val="fr-FR"/>
        </w:rPr>
        <w:t xml:space="preserve"> prometteu</w:t>
      </w:r>
      <w:r>
        <w:rPr>
          <w:b/>
          <w:color w:val="86789C"/>
          <w:sz w:val="36"/>
          <w:szCs w:val="36"/>
          <w:lang w:val="fr-FR"/>
        </w:rPr>
        <w:t>ses des clusters</w:t>
      </w:r>
      <w:r w:rsidRPr="009C4D1B">
        <w:rPr>
          <w:b/>
          <w:color w:val="86789C"/>
          <w:sz w:val="36"/>
          <w:szCs w:val="36"/>
          <w:lang w:val="fr-FR"/>
        </w:rPr>
        <w:t xml:space="preserve"> pays</w:t>
      </w:r>
    </w:p>
    <w:p w14:paraId="5CDC49E8" w14:textId="0D5D12D1" w:rsidR="00435EEA" w:rsidRPr="009C4D1B" w:rsidRDefault="008A39B4" w:rsidP="00150202">
      <w:pPr>
        <w:spacing w:before="240"/>
        <w:jc w:val="both"/>
        <w:rPr>
          <w:bCs/>
          <w:i/>
          <w:lang w:val="fr-FR"/>
        </w:rPr>
      </w:pPr>
      <w:r w:rsidRPr="00053970">
        <w:rPr>
          <w:b/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9EBBAE" wp14:editId="0B70D0FD">
                <wp:simplePos x="0" y="0"/>
                <wp:positionH relativeFrom="column">
                  <wp:posOffset>765810</wp:posOffset>
                </wp:positionH>
                <wp:positionV relativeFrom="paragraph">
                  <wp:posOffset>817245</wp:posOffset>
                </wp:positionV>
                <wp:extent cx="257175" cy="487680"/>
                <wp:effectExtent l="19050" t="0" r="47625" b="26670"/>
                <wp:wrapNone/>
                <wp:docPr id="2" name="Arrow: Chevr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87680"/>
                        </a:xfrm>
                        <a:prstGeom prst="chevron">
                          <a:avLst>
                            <a:gd name="adj" fmla="val 53092"/>
                          </a:avLst>
                        </a:prstGeom>
                        <a:solidFill>
                          <a:srgbClr val="86789C"/>
                        </a:solidFill>
                        <a:ln>
                          <a:solidFill>
                            <a:srgbClr val="86789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12D62E38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Chevron 2" o:spid="_x0000_s1026" type="#_x0000_t55" style="position:absolute;margin-left:60.3pt;margin-top:64.35pt;width:20.25pt;height:3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mWxlQIAAL4FAAAOAAAAZHJzL2Uyb0RvYy54bWysVFFvGjEMfp+0/xDlfT24QqGoR4WoOk2q&#10;WrR26nPIJXBTLs6cwMF+/ZxwHO1WqVK1l5x99ufYX2xfXe9qw7YKfQW24P2zHmfKSigruyr4j6fb&#10;L2POfBC2FAasKvheeX49/fzpqnETlcMaTKmQURDrJ40r+DoEN8kyL9eqFv4MnLJk1IC1CKTiKitR&#10;NBS9Nlne611kDWDpEKTynv7eHIx8muJrrWR40NqrwEzBKbeQTkznMp7Z9EpMVijcupJtGuIDWdSi&#10;snRpF+pGBME2WP0Tqq4kggcdziTUGWhdSZVqoGr6vb+qeVwLp1ItRI53HU3+/4WV99sFsqoseM6Z&#10;FTU90QwRmgmbr9UWwbI8ctQ4PyHXR7fAVvMkxoJ3Guv4pVLYLvG673hVu8Ak/cyHo/5oyJkk02A8&#10;uhgn3rMT2KEPXxXULAoFp8ePVydCxfbOh8Rs2eYnyp+c6drQO22FYcPz3mXKkeK1ziQdI0akB1OV&#10;t5UxScHVcm6QEbTg44vR+HIeCyTIKzdjP4akOBGaRcIOFCUp7I2KAY39rjTRTaT0U3mp0VWXkJBS&#10;2dBvM0reEaYp+Q54/j6w9Y9QlYagA+fvgztEuhls6MB1ZQHfCmC6lPXB/8jAoe5IwRLKPXUawmEE&#10;vZO3FT32nfBhIZDekqaT9kh4oEMbaAoOrcTZGvD3W/+jP40CWTlraIYL7n9tBCrOzDdLQ3LZHwzi&#10;0CdlMBzlpOBLy/KlxW7qOVBT9GljOZnE6B/MUdQI9TOtm1m8lUzCSrqb2jXgUZmHw26hhSXVbJbc&#10;aNCdCHf20cnjq8fufNo9C3RtxwcalXs4znvbyIe2PPnG97Aw2wTQVYjGE6+tQkuCpFdb6KWevE5r&#10;d/oHAAD//wMAUEsDBBQABgAIAAAAIQAgfcVZ4AAAAAsBAAAPAAAAZHJzL2Rvd25yZXYueG1sTI/B&#10;TsMwDIbvSLxDZCRuLGmltVtpOqFKHOCAxDbBNWtMU9E4VZN1hacnPbGbf/nT78/lbrY9m3D0nSMJ&#10;yUoAQ2qc7qiVcDw8P2yA+aBIq94RSvhBD7vq9qZUhXYXesdpH1oWS8gXSoIJYSg4941Bq/zKDUhx&#10;9+VGq0KMY8v1qC6x3PY8FSLjVnUULxg1YG2w+d6frYS318kcdP7ZNfVLZvKj3v5+1Fsp7+/mp0dg&#10;AefwD8OiH9Whik4ndybtWR9zKrKILsMmB7YQWZIAO0lIxXoNvCr59Q/VHwAAAP//AwBQSwECLQAU&#10;AAYACAAAACEAtoM4kv4AAADhAQAAEwAAAAAAAAAAAAAAAAAAAAAAW0NvbnRlbnRfVHlwZXNdLnht&#10;bFBLAQItABQABgAIAAAAIQA4/SH/1gAAAJQBAAALAAAAAAAAAAAAAAAAAC8BAABfcmVscy8ucmVs&#10;c1BLAQItABQABgAIAAAAIQDwLmWxlQIAAL4FAAAOAAAAAAAAAAAAAAAAAC4CAABkcnMvZTJvRG9j&#10;LnhtbFBLAQItABQABgAIAAAAIQAgfcVZ4AAAAAsBAAAPAAAAAAAAAAAAAAAAAO8EAABkcnMvZG93&#10;bnJldi54bWxQSwUGAAAAAAQABADzAAAA/AUAAAAA&#10;" adj="10132" fillcolor="#86789c" strokecolor="#86789c" strokeweight=".5pt"/>
            </w:pict>
          </mc:Fallback>
        </mc:AlternateContent>
      </w:r>
      <w:r w:rsidR="009C4D1B" w:rsidRPr="009C4D1B">
        <w:rPr>
          <w:bCs/>
          <w:lang w:val="fr-FR"/>
        </w:rPr>
        <w:t>Le tableau suivant contient l</w:t>
      </w:r>
      <w:r w:rsidR="009C4D1B">
        <w:rPr>
          <w:bCs/>
          <w:lang w:val="fr-FR"/>
        </w:rPr>
        <w:t>es pratiques prometteuses du</w:t>
      </w:r>
      <w:r w:rsidR="009C4D1B" w:rsidRPr="009C4D1B">
        <w:rPr>
          <w:lang w:val="fr-FR"/>
        </w:rPr>
        <w:t xml:space="preserve"> </w:t>
      </w:r>
      <w:r w:rsidR="009C4D1B" w:rsidRPr="009C4D1B">
        <w:rPr>
          <w:bCs/>
          <w:lang w:val="fr-FR"/>
        </w:rPr>
        <w:t>cadre de collaboration CP-EiE</w:t>
      </w:r>
      <w:r w:rsidR="009C4D1B">
        <w:rPr>
          <w:bCs/>
          <w:lang w:val="fr-FR"/>
        </w:rPr>
        <w:t xml:space="preserve"> des clusters</w:t>
      </w:r>
      <w:r w:rsidR="009C4D1B" w:rsidRPr="009C4D1B">
        <w:rPr>
          <w:bCs/>
          <w:lang w:val="fr-FR"/>
        </w:rPr>
        <w:t xml:space="preserve"> pays et, le cas échéant, les ressources qu’ils ont utilisées. Les exemples sont classés selon les étapes du </w:t>
      </w:r>
      <w:hyperlink r:id="rId9" w:history="1">
        <w:r w:rsidR="009C4D1B" w:rsidRPr="008A39B4">
          <w:rPr>
            <w:rStyle w:val="Hyperlink"/>
            <w:bCs/>
            <w:lang w:val="fr-FR"/>
          </w:rPr>
          <w:t>Cadre de collaboration CP-EiE</w:t>
        </w:r>
      </w:hyperlink>
      <w:r w:rsidR="009C4D1B" w:rsidRPr="009C4D1B">
        <w:rPr>
          <w:bCs/>
          <w:lang w:val="fr-FR"/>
        </w:rPr>
        <w:t>. Les ressources mondiales liées à ces étapes sont incluses à la fin</w:t>
      </w:r>
      <w:r w:rsidR="009C4D1B" w:rsidRPr="009C4D1B">
        <w:rPr>
          <w:bCs/>
          <w:i/>
          <w:lang w:val="fr-FR"/>
        </w:rPr>
        <w:t xml:space="preserve">. Il s’agit d’une compilation vivante de pratiques </w:t>
      </w:r>
      <w:proofErr w:type="gramStart"/>
      <w:r w:rsidR="009C4D1B" w:rsidRPr="009C4D1B">
        <w:rPr>
          <w:bCs/>
          <w:i/>
          <w:lang w:val="fr-FR"/>
        </w:rPr>
        <w:t>prometteuses;</w:t>
      </w:r>
      <w:proofErr w:type="gramEnd"/>
      <w:r w:rsidR="009C4D1B" w:rsidRPr="009C4D1B">
        <w:rPr>
          <w:bCs/>
          <w:i/>
          <w:lang w:val="fr-FR"/>
        </w:rPr>
        <w:t xml:space="preserve"> si vous avez des exemples ou des outils à ajouter, </w:t>
      </w:r>
      <w:hyperlink r:id="rId10" w:history="1">
        <w:r w:rsidR="009C4D1B" w:rsidRPr="008A39B4">
          <w:rPr>
            <w:rStyle w:val="Hyperlink"/>
            <w:bCs/>
            <w:i/>
            <w:iCs/>
            <w:lang w:val="fr-FR"/>
          </w:rPr>
          <w:t>veuillez nous contacter </w:t>
        </w:r>
      </w:hyperlink>
      <w:r w:rsidR="009C4D1B" w:rsidRPr="009C4D1B">
        <w:rPr>
          <w:bCs/>
          <w:i/>
          <w:iCs/>
          <w:lang w:val="fr-FR"/>
        </w:rPr>
        <w:t>!</w:t>
      </w:r>
    </w:p>
    <w:tbl>
      <w:tblPr>
        <w:tblStyle w:val="TableGrid"/>
        <w:tblW w:w="5646" w:type="pct"/>
        <w:tblInd w:w="-866" w:type="dxa"/>
        <w:tblBorders>
          <w:top w:val="single" w:sz="12" w:space="0" w:color="86789C"/>
          <w:left w:val="single" w:sz="12" w:space="0" w:color="86789C"/>
          <w:bottom w:val="single" w:sz="12" w:space="0" w:color="86789C"/>
          <w:right w:val="single" w:sz="12" w:space="0" w:color="86789C"/>
          <w:insideH w:val="single" w:sz="12" w:space="0" w:color="86789C"/>
          <w:insideV w:val="single" w:sz="12" w:space="0" w:color="86789C"/>
        </w:tblBorders>
        <w:tblLook w:val="04A0" w:firstRow="1" w:lastRow="0" w:firstColumn="1" w:lastColumn="0" w:noHBand="0" w:noVBand="1"/>
      </w:tblPr>
      <w:tblGrid>
        <w:gridCol w:w="2252"/>
        <w:gridCol w:w="2459"/>
        <w:gridCol w:w="2535"/>
        <w:gridCol w:w="7355"/>
      </w:tblGrid>
      <w:tr w:rsidR="00D827A3" w:rsidRPr="009C4D1B" w14:paraId="3C7CD97F" w14:textId="77777777" w:rsidTr="00582913">
        <w:tc>
          <w:tcPr>
            <w:tcW w:w="777" w:type="pct"/>
            <w:vAlign w:val="center"/>
          </w:tcPr>
          <w:p w14:paraId="3CFD14A8" w14:textId="5AAAE9FF" w:rsidR="001C17D1" w:rsidRPr="009C4D1B" w:rsidRDefault="009C4D1B" w:rsidP="009C4D1B">
            <w:pPr>
              <w:jc w:val="center"/>
              <w:rPr>
                <w:b/>
                <w:color w:val="86789C"/>
                <w:sz w:val="20"/>
                <w:szCs w:val="20"/>
                <w:lang w:val="fr-FR"/>
              </w:rPr>
            </w:pPr>
            <w:r w:rsidRPr="009C4D1B">
              <w:rPr>
                <w:b/>
                <w:color w:val="86789C"/>
                <w:sz w:val="20"/>
                <w:szCs w:val="20"/>
                <w:lang w:val="fr-FR"/>
              </w:rPr>
              <w:t xml:space="preserve">1a. Considérations stratégiques et opérationnelles </w:t>
            </w:r>
          </w:p>
        </w:tc>
        <w:tc>
          <w:tcPr>
            <w:tcW w:w="825" w:type="pct"/>
            <w:vAlign w:val="center"/>
          </w:tcPr>
          <w:p w14:paraId="4055E179" w14:textId="4D4F7246" w:rsidR="001C17D1" w:rsidRPr="00E42F09" w:rsidRDefault="009C4D1B" w:rsidP="008A39B4">
            <w:pPr>
              <w:jc w:val="center"/>
              <w:rPr>
                <w:b/>
                <w:color w:val="86789C"/>
                <w:sz w:val="20"/>
                <w:szCs w:val="20"/>
                <w:lang w:val="fr-FR"/>
              </w:rPr>
            </w:pPr>
            <w:r w:rsidRPr="009C4D1B">
              <w:rPr>
                <w:b/>
                <w:color w:val="86789C"/>
                <w:sz w:val="20"/>
                <w:szCs w:val="20"/>
                <w:lang w:val="fr-FR"/>
              </w:rPr>
              <w:t>1b. Compréhension commune</w:t>
            </w:r>
            <w:r w:rsidR="008A39B4">
              <w:rPr>
                <w:b/>
                <w:color w:val="86789C"/>
                <w:sz w:val="20"/>
                <w:szCs w:val="20"/>
                <w:lang w:val="fr-FR"/>
              </w:rPr>
              <w:t xml:space="preserve"> </w:t>
            </w:r>
            <w:r w:rsidRPr="009C4D1B">
              <w:rPr>
                <w:b/>
                <w:color w:val="86789C"/>
                <w:sz w:val="20"/>
                <w:szCs w:val="20"/>
                <w:lang w:val="fr-FR"/>
              </w:rPr>
              <w:t>des besoins d’information</w:t>
            </w:r>
            <w:r w:rsidRPr="009C4D1B">
              <w:rPr>
                <w:b/>
                <w:noProof/>
                <w:color w:val="86789C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874" w:type="pct"/>
            <w:tcBorders>
              <w:right w:val="single" w:sz="12" w:space="0" w:color="FFFFFF" w:themeColor="background1"/>
            </w:tcBorders>
            <w:vAlign w:val="center"/>
          </w:tcPr>
          <w:p w14:paraId="39B7B460" w14:textId="5957E1DB" w:rsidR="001C17D1" w:rsidRPr="009C4D1B" w:rsidRDefault="008A39B4" w:rsidP="008A39B4">
            <w:pPr>
              <w:spacing w:before="240"/>
              <w:jc w:val="center"/>
              <w:rPr>
                <w:b/>
                <w:color w:val="86789C"/>
                <w:sz w:val="20"/>
                <w:szCs w:val="20"/>
                <w:lang w:val="fr-FR"/>
              </w:rPr>
            </w:pPr>
            <w:r w:rsidRPr="00053970">
              <w:rPr>
                <w:b/>
                <w:noProof/>
                <w:sz w:val="20"/>
                <w:szCs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5B8F5D" wp14:editId="57B535BB">
                      <wp:simplePos x="0" y="0"/>
                      <wp:positionH relativeFrom="column">
                        <wp:posOffset>-192405</wp:posOffset>
                      </wp:positionH>
                      <wp:positionV relativeFrom="paragraph">
                        <wp:posOffset>-7620</wp:posOffset>
                      </wp:positionV>
                      <wp:extent cx="257175" cy="480060"/>
                      <wp:effectExtent l="19050" t="0" r="47625" b="15240"/>
                      <wp:wrapNone/>
                      <wp:docPr id="3" name="Arrow: Chevro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480060"/>
                              </a:xfrm>
                              <a:prstGeom prst="chevron">
                                <a:avLst/>
                              </a:prstGeom>
                              <a:solidFill>
                                <a:srgbClr val="86789C"/>
                              </a:solidFill>
                              <a:ln>
                                <a:solidFill>
                                  <a:srgbClr val="86789C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7257E91D" id="Arrow: Chevron 3" o:spid="_x0000_s1026" type="#_x0000_t55" style="position:absolute;margin-left:-15.15pt;margin-top:-.6pt;width:20.25pt;height:3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wOqgAIAAJIFAAAOAAAAZHJzL2Uyb0RvYy54bWysVN1P2zAQf5+0/8Hy+0hbCi0RKaqKmCYh&#10;hgYTz65jN5Ecn3d2m3Z//c5OGhhDQkJ7ce5y37/7uLzaN4btFPoabMHHJyPOlJVQ1nZT8J+PN1/m&#10;nPkgbCkMWFXwg/L8avH502XrcjWBCkypkJET6/PWFbwKweVZ5mWlGuFPwClLQg3YiEAsbrISRUve&#10;G5NNRqPzrAUsHYJU3tPf607IF8m/1kqG71p7FZgpOOUW0ovpXcc3W1yKfIPCVbXs0xAfyKIRtaWg&#10;g6trEQTbYv2Pq6aWCB50OJHQZKB1LVWqgaoZj15V81AJp1ItBI53A0z+/7mVd7t7ZHVZ8FPOrGio&#10;RUtEaHO2qtQOwbLTiFHrfE6qD+4ee84TGQvea2zil0ph+4TrYcBV7QOT9HNyNhvPzjiTJJrOqWsJ&#10;9+zZ2KEPXxU0LBIFp+bH0AlQsbv1gWKS9lErhvNg6vKmNiYxuFmvDLKdoC7Pz2fzi1VMmkz+UjP2&#10;Y5bkJ5pmEYSu7ESFg1HRobE/lCYIqdBxSjkNrxoSElIqG8Z9Rkk7mmlKfjA8fd+w14+mKg32YDx5&#10;33iwSJHBhsG4qS3gWw7MkLLu9I8IdHVHCNZQHmh6ELq18k7e1NTAW+HDvUDaI9o4ug3hOz3aQFtw&#10;6CnOKsDfb/2P+jTeJOWspb0suP+1Fag4M98sDf7FeDqNi5yY6dlsQgy+lKxfSuy2WQENxZiukJOJ&#10;jPrBHEmN0DzRCVnGqCQSVlJsGsGAR2YVuntBR0iq5TKp0fI6EW7tg5PHrsfpfNw/CXT9FAca/zs4&#10;7rDIX01ypxv7YWG5DaDrNObPuPZ40+KnUe6PVLwsL/mk9XxKF38AAAD//wMAUEsDBBQABgAIAAAA&#10;IQBZw/aQ2wAAAAgBAAAPAAAAZHJzL2Rvd25yZXYueG1sTI/PTsMwDIfvSLxDZCRuW7J/gErTaQKN&#10;wy5ogwfwGtNWJE6VpF15e7ITnGzLn37+XG4nZ8VIIXaeNSzmCgRx7U3HjYbPj/3sCURMyAatZ9Lw&#10;QxG21e1NiYXxFz7SeEqNyCEcC9TQptQXUsa6JYdx7nvivPvywWHKY2ikCXjJ4c7KpVIP0mHH+UKL&#10;Pb20VH+fBqehPuB+3Gze5LFJrzIcdoMd3knr+7tp9wwi0ZT+YLjqZ3WostPZD2yisBpmK7XKaG4W&#10;SxBXQOV61vC4XoOsSvn/geoXAAD//wMAUEsBAi0AFAAGAAgAAAAhALaDOJL+AAAA4QEAABMAAAAA&#10;AAAAAAAAAAAAAAAAAFtDb250ZW50X1R5cGVzXS54bWxQSwECLQAUAAYACAAAACEAOP0h/9YAAACU&#10;AQAACwAAAAAAAAAAAAAAAAAvAQAAX3JlbHMvLnJlbHNQSwECLQAUAAYACAAAACEAS6cDqoACAACS&#10;BQAADgAAAAAAAAAAAAAAAAAuAgAAZHJzL2Uyb0RvYy54bWxQSwECLQAUAAYACAAAACEAWcP2kNsA&#10;AAAIAQAADwAAAAAAAAAAAAAAAADaBAAAZHJzL2Rvd25yZXYueG1sUEsFBgAAAAAEAAQA8wAAAOIF&#10;AAAAAA==&#10;" adj="10800" fillcolor="#86789c" strokecolor="#86789c" strokeweight=".5pt"/>
                  </w:pict>
                </mc:Fallback>
              </mc:AlternateContent>
            </w:r>
            <w:r w:rsidR="009C4D1B" w:rsidRPr="009C4D1B">
              <w:rPr>
                <w:b/>
                <w:color w:val="86789C"/>
                <w:sz w:val="20"/>
                <w:szCs w:val="20"/>
                <w:lang w:val="fr-FR"/>
              </w:rPr>
              <w:t xml:space="preserve">1c. Analyse conjointe </w:t>
            </w:r>
            <w:r>
              <w:rPr>
                <w:b/>
                <w:color w:val="86789C"/>
                <w:sz w:val="20"/>
                <w:szCs w:val="20"/>
                <w:lang w:val="fr-FR"/>
              </w:rPr>
              <w:t xml:space="preserve">      </w:t>
            </w:r>
            <w:r w:rsidR="009C4D1B" w:rsidRPr="009C4D1B">
              <w:rPr>
                <w:b/>
                <w:color w:val="86789C"/>
                <w:sz w:val="20"/>
                <w:szCs w:val="20"/>
                <w:lang w:val="fr-FR"/>
              </w:rPr>
              <w:t xml:space="preserve">des données </w:t>
            </w:r>
          </w:p>
        </w:tc>
        <w:tc>
          <w:tcPr>
            <w:tcW w:w="2524" w:type="pct"/>
            <w:tcBorders>
              <w:left w:val="single" w:sz="12" w:space="0" w:color="FFFFFF" w:themeColor="background1"/>
            </w:tcBorders>
            <w:vAlign w:val="center"/>
          </w:tcPr>
          <w:p w14:paraId="578FA369" w14:textId="1B8075BD" w:rsidR="001C17D1" w:rsidRPr="009C4D1B" w:rsidRDefault="008A39B4" w:rsidP="009C4D1B">
            <w:pPr>
              <w:spacing w:before="240"/>
              <w:ind w:firstLine="608"/>
              <w:rPr>
                <w:noProof/>
                <w:color w:val="86789C"/>
                <w:lang w:val="fr-FR"/>
              </w:rPr>
            </w:pPr>
            <w:r w:rsidRPr="00027A53">
              <w:rPr>
                <w:noProof/>
                <w:color w:val="86789C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A3A0D2" wp14:editId="3088EEB0">
                      <wp:simplePos x="0" y="0"/>
                      <wp:positionH relativeFrom="column">
                        <wp:posOffset>-234315</wp:posOffset>
                      </wp:positionH>
                      <wp:positionV relativeFrom="page">
                        <wp:posOffset>73025</wp:posOffset>
                      </wp:positionV>
                      <wp:extent cx="390525" cy="390525"/>
                      <wp:effectExtent l="0" t="0" r="9525" b="9525"/>
                      <wp:wrapNone/>
                      <wp:docPr id="10" name="Circular Arrow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90525" cy="390525"/>
                              </a:xfrm>
                              <a:prstGeom prst="circularArrow">
                                <a:avLst/>
                              </a:prstGeom>
                              <a:solidFill>
                                <a:srgbClr val="86789C"/>
                              </a:solidFill>
                              <a:ln>
                                <a:solidFill>
                                  <a:srgbClr val="86789C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20AF8308" id="Circular Arrow 10" o:spid="_x0000_s1026" style="position:absolute;margin-left:-18.45pt;margin-top:5.75pt;width:30.75pt;height:30.7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3905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VSfiAIAAKkFAAAOAAAAZHJzL2Uyb0RvYy54bWysVG1r2zAQ/j7YfxD6vtpJX5aGOiWkdAxK&#10;W9aOflZkKRHIOu2kxMl+/U6y43ZdoVDmD+ZO96K7R8/dxeWusWyrMBhwFR8dlZwpJ6E2blXxn4/X&#10;XyachShcLSw4VfG9Cvxy9vnTReunagxrsLVCRklcmLa+4usY/bQoglyrRoQj8MqRUQM2IpKKq6JG&#10;0VL2xhbjsjwrWsDaI0gVAp1edUY+y/m1VjLeaR1UZLbiVFvMf8z/ZfoXswsxXaHwayP7MsQHqmiE&#10;cXTpkOpKRME2aP5J1RiJEEDHIwlNAVobqXIP1M2ofNXNw1p4lXshcIIfYAr/L6283d4jMzW9HcHj&#10;RENvtDAoN1YgmyNCy8hAKLU+TMn5wd9jrwUSU8s7jQ1DIGhH5aRMX0aCemO7DPR+AFrtIpN0eHxe&#10;no5POZNk6mVKWnS5Uk6PIX5T0LAkVFz2FeWCcnaxvQmxizn4prgA1tTXxtqs4Gq5sMi2gh5/cvZ1&#10;cr5IndA1f7lZ97FIypNCi4RMh0WW4t6qlNC6H0oTstTuKJecOa2GgoSUysVRX1H2TmGaih8Cj98P&#10;7P1TqMp8H4LH7wcPEflmcHEIbowDfCuBHUrWnf8Bga7vBMES6j2RKlOCSBW8vDb0jDcixHuBNF50&#10;SCsj3tFPW2grDr3E2Rrw91vnyZ9YT1bOWhrXiodfG4GKM/vd0Tycj05O0nxn5eT065gUfGlZvrS4&#10;TbMAIsUoV5fF5B/tQdQIzRNtlnm6lUzCSbqbiBjxoCxit0ZoN0k1n2c3mmkv4o178PLw6omdj7sn&#10;gb7ncqQhuIXDaIvpKyZ3vuk9HMw3EbTJNH/Gtceb9kGmcr+70sJ5qWev5w07+wMAAP//AwBQSwME&#10;FAAGAAgAAAAhAB+34LzgAAAACAEAAA8AAABkcnMvZG93bnJldi54bWxMj8FOwzAQRO9I/IO1SFxQ&#10;ayehKYQ4FQJVHDggSgXXTbwkEbGdxnYb/h5zguNqnmbelptZD+xIk+utkZAsBTAyjVW9aSXs37aL&#10;G2DOo1E4WEMSvsnBpjo/K7FQ9mRe6bjzLYslxhUoofN+LDh3TUca3dKOZGL2aSeNPp5Ty9WEp1iu&#10;B54KkXONvYkLHY700FHztQtawst7+tRuw8cqsYdDFvCqFuHxWcrLi/n+Dpin2f/B8Ksf1aGKTrUN&#10;Rjk2SFhk+W1EY5CsgEUgvc6B1RLWmQBelfz/A9UPAAAA//8DAFBLAQItABQABgAIAAAAIQC2gziS&#10;/gAAAOEBAAATAAAAAAAAAAAAAAAAAAAAAABbQ29udGVudF9UeXBlc10ueG1sUEsBAi0AFAAGAAgA&#10;AAAhADj9If/WAAAAlAEAAAsAAAAAAAAAAAAAAAAALwEAAF9yZWxzLy5yZWxzUEsBAi0AFAAGAAgA&#10;AAAhAJlxVJ+IAgAAqQUAAA4AAAAAAAAAAAAAAAAALgIAAGRycy9lMm9Eb2MueG1sUEsBAi0AFAAG&#10;AAgAAAAhAB+34LzgAAAACAEAAA8AAAAAAAAAAAAAAAAA4gQAAGRycy9kb3ducmV2LnhtbFBLBQYA&#10;AAAABAAEAPMAAADvBQAAAAA=&#10;" path="m24408,195263v,-85039,62540,-157134,146727,-169143c255322,14111,335526,65843,359303,147491r23211,l341709,195262,284883,147491r22680,c284858,94116,227720,64097,170885,75683,114050,87269,73223,137259,73223,195263r-48815,xe" fillcolor="#86789c" strokecolor="#86789c" strokeweight=".5pt">
                      <v:stroke joinstyle="miter"/>
                      <v:path arrowok="t" o:connecttype="custom" o:connectlocs="24408,195263;171135,26120;359303,147491;382514,147491;341709,195262;284883,147491;307563,147491;170885,75683;73223,195263;24408,195263" o:connectangles="0,0,0,0,0,0,0,0,0,0"/>
                      <w10:wrap anchory="page"/>
                    </v:shape>
                  </w:pict>
                </mc:Fallback>
              </mc:AlternateContent>
            </w:r>
            <w:r w:rsidR="009C4D1B" w:rsidRPr="009C4D1B">
              <w:rPr>
                <w:b/>
                <w:color w:val="86789C"/>
                <w:sz w:val="20"/>
                <w:szCs w:val="20"/>
                <w:lang w:val="fr-FR"/>
              </w:rPr>
              <w:t xml:space="preserve">1d. Évaluations potentielles </w:t>
            </w:r>
            <w:r w:rsidR="00062153" w:rsidRPr="00027A53">
              <w:rPr>
                <w:noProof/>
                <w:color w:val="86789C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0BCF64F" wp14:editId="7F36F7AD">
                      <wp:simplePos x="0" y="0"/>
                      <wp:positionH relativeFrom="column">
                        <wp:posOffset>-237490</wp:posOffset>
                      </wp:positionH>
                      <wp:positionV relativeFrom="page">
                        <wp:posOffset>-31115</wp:posOffset>
                      </wp:positionV>
                      <wp:extent cx="390525" cy="438150"/>
                      <wp:effectExtent l="0" t="0" r="47625" b="0"/>
                      <wp:wrapNone/>
                      <wp:docPr id="48" name="Circular Arrow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438150"/>
                              </a:xfrm>
                              <a:prstGeom prst="circularArrow">
                                <a:avLst/>
                              </a:prstGeom>
                              <a:solidFill>
                                <a:srgbClr val="86789C"/>
                              </a:solidFill>
                              <a:ln>
                                <a:solidFill>
                                  <a:srgbClr val="86789C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1278A6C5" id="Circular Arrow 10" o:spid="_x0000_s1026" style="position:absolute;margin-left:-18.7pt;margin-top:-2.45pt;width:30.75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390525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gcMggIAAJoFAAAOAAAAZHJzL2Uyb0RvYy54bWysVF9P2zAQf5+072D5faQpLSsVKaqKmCYh&#10;QIOJZ9exW0uOzzu7TbtPv7ObBsaQkNBenLvc/e7/3cXlrrFsqzAYcBUvTwacKSehNm5V8Z+P118m&#10;nIUoXC0sOFXxvQr8cvb500Xrp2oIa7C1QkZGXJi2vuLrGP20KIJcq0aEE/DKkVADNiISi6uiRtGS&#10;9cYWw8HgrGgBa48gVQj09+og5LNsX2sl453WQUVmK06xxfxifpfpLWYXYrpC4ddGdmGID0TRCOPI&#10;aW/qSkTBNmj+MdUYiRBAxxMJTQFaG6lyDpRNOXiVzcNaeJVzoeIE35cp/D+z8nZ7j8zUFR9Rp5xo&#10;qEcLg3JjBbI5IrSszFVqfZiS8oO/R6pZ4gKRKeWdxiZ9KRm2y5Xd95VVu8gk/Tw9H4yHY84kiUan&#10;k3KcbRbPYI8hflPQsERUXHYh5AhyYcX2JkTyTJijbnIawJr62libGVwtFxbZVlC3J2dfJ+eL1GCC&#10;/KVm3ceQZCdBi+fkMxX3ViWD1v1QmkpJ6ZY55DzEqg9ISKlcLLuIsnaCaQq+B56+D+z0E1TlAe/B&#10;w/fBPSJ7Bhd7cGMc4FsGbB+yPugfK3DIO5VgCfWepgjhsF7By2tDbbwRId4LpH2izaMbEe/o0Rba&#10;ikNHcbYG/P3W/6RPY05Szlraz4qHXxuBijP73dECnJejUVrozIzGX4fE4EvJ8qXEbZoF0FCUdI28&#10;zGTSj/ZIaoTmiU7JPHklkXCSfNMgRjwyi3i4G3SMpJrPsxotsRfxxj14eex6ms7H3ZNA381ypCW4&#10;heMui+mrST7opn44mG8iaJPH/LmuXb3pAORR7o5VujAv+az1fFJnfwAAAP//AwBQSwMEFAAGAAgA&#10;AAAhAH8TYJDdAAAACAEAAA8AAABkcnMvZG93bnJldi54bWxMj8FOwzAMhu9IvENkJG5bulENKE0n&#10;VgEnLhtI2zFrvLbQOCXJtvD2mBOcbMuffn8ul8kO4oQ+9I4UzKYZCKTGmZ5aBe9vz5M7ECFqMnpw&#10;hAq+McCyurwodWHcmdZ42sRWcAiFQivoYhwLKUPTodVh6kYk3h2ctzry6FtpvD5zuB3kPMsW0uqe&#10;+EKnR6w7bD43R6tgVdu0eqLsVb9svz7yQ732uz4pdX2VHh9AREzxD4ZffVaHip327kgmiEHB5OY2&#10;Z5Sb/B4EA/N8BmKvYMFVVqX8/0D1AwAA//8DAFBLAQItABQABgAIAAAAIQC2gziS/gAAAOEBAAAT&#10;AAAAAAAAAAAAAAAAAAAAAABbQ29udGVudF9UeXBlc10ueG1sUEsBAi0AFAAGAAgAAAAhADj9If/W&#10;AAAAlAEAAAsAAAAAAAAAAAAAAAAALwEAAF9yZWxzLy5yZWxzUEsBAi0AFAAGAAgAAAAhAMYGBwyC&#10;AgAAmgUAAA4AAAAAAAAAAAAAAAAALgIAAGRycy9lMm9Eb2MueG1sUEsBAi0AFAAGAAgAAAAhAH8T&#10;YJDdAAAACAEAAA8AAAAAAAAAAAAAAAAA3AQAAGRycy9kb3ducmV2LnhtbFBLBQYAAAAABAAEAPMA&#10;AADmBQAAAAA=&#10;" path="m24408,219075v,-95398,60676,-176740,143310,-192120c254998,10710,338733,73036,360743,170628r23728,l341709,219075,286840,170628r23532,c289580,100067,227490,59746,166641,77291,111838,93092,73223,151700,73223,219075r-48815,xe" fillcolor="#86789c" strokecolor="#86789c" strokeweight=".5pt">
                      <v:stroke joinstyle="miter"/>
                      <v:path arrowok="t" o:connecttype="custom" o:connectlocs="24408,219075;167718,26955;360743,170628;384471,170628;341709,219075;286840,170628;310372,170628;166641,77291;73223,219075;24408,219075" o:connectangles="0,0,0,0,0,0,0,0,0,0"/>
                      <w10:wrap anchory="page"/>
                    </v:shape>
                  </w:pict>
                </mc:Fallback>
              </mc:AlternateContent>
            </w:r>
          </w:p>
        </w:tc>
      </w:tr>
      <w:tr w:rsidR="00D827A3" w:rsidRPr="00FA1E34" w14:paraId="5CEC7544" w14:textId="77777777" w:rsidTr="00027A53">
        <w:tc>
          <w:tcPr>
            <w:tcW w:w="777" w:type="pct"/>
          </w:tcPr>
          <w:p w14:paraId="140AE665" w14:textId="3C013BB1" w:rsidR="001C17D1" w:rsidRPr="009C4D1B" w:rsidRDefault="001C17D1" w:rsidP="00350F5F">
            <w:pPr>
              <w:spacing w:before="40" w:after="40"/>
              <w:rPr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825" w:type="pct"/>
          </w:tcPr>
          <w:p w14:paraId="5396A3BE" w14:textId="302E012C" w:rsidR="009C4D1B" w:rsidRPr="00E223F9" w:rsidRDefault="00E223F9" w:rsidP="009C4D1B">
            <w:pPr>
              <w:pStyle w:val="ListParagraph"/>
              <w:numPr>
                <w:ilvl w:val="0"/>
                <w:numId w:val="8"/>
              </w:numPr>
              <w:spacing w:before="40"/>
              <w:rPr>
                <w:sz w:val="20"/>
                <w:szCs w:val="20"/>
                <w:lang w:val="fr-FR"/>
              </w:rPr>
            </w:pPr>
            <w:r w:rsidRPr="00E223F9">
              <w:rPr>
                <w:sz w:val="20"/>
                <w:szCs w:val="20"/>
                <w:lang w:val="fr-FR"/>
              </w:rPr>
              <w:t xml:space="preserve">Partage de l’information et collecte </w:t>
            </w:r>
            <w:r w:rsidR="00134E19">
              <w:rPr>
                <w:sz w:val="20"/>
                <w:szCs w:val="20"/>
                <w:lang w:val="fr-FR"/>
              </w:rPr>
              <w:t>d’information conjointe</w:t>
            </w:r>
            <w:r w:rsidRPr="00E223F9">
              <w:rPr>
                <w:sz w:val="20"/>
                <w:szCs w:val="20"/>
                <w:lang w:val="fr-FR"/>
              </w:rPr>
              <w:t xml:space="preserve"> pour créer une compréhension commune des besoins : les coordonnateurs échangent systématiquement des informations, effectuent des visites conjointes sur le terrain et des consultations conjointes entre partenaires et bénéficiaires pour éclairer l’analyse des besoins </w:t>
            </w:r>
            <w:proofErr w:type="gramStart"/>
            <w:r w:rsidRPr="00E223F9">
              <w:rPr>
                <w:sz w:val="20"/>
                <w:szCs w:val="20"/>
                <w:lang w:val="fr-FR"/>
              </w:rPr>
              <w:t>communs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E223F9">
              <w:rPr>
                <w:sz w:val="20"/>
                <w:szCs w:val="20"/>
                <w:lang w:val="fr-FR"/>
              </w:rPr>
              <w:t xml:space="preserve"> (</w:t>
            </w:r>
            <w:proofErr w:type="gramEnd"/>
            <w:r w:rsidRPr="00E223F9">
              <w:rPr>
                <w:b/>
                <w:bCs/>
                <w:sz w:val="20"/>
                <w:szCs w:val="20"/>
                <w:lang w:val="fr-FR"/>
              </w:rPr>
              <w:t>oPt</w:t>
            </w:r>
            <w:r>
              <w:rPr>
                <w:sz w:val="20"/>
                <w:szCs w:val="20"/>
                <w:lang w:val="fr-FR"/>
              </w:rPr>
              <w:t>)</w:t>
            </w:r>
          </w:p>
          <w:p w14:paraId="59CCEEC0" w14:textId="3C0CB988" w:rsidR="00E223F9" w:rsidRPr="00E223F9" w:rsidRDefault="00E223F9" w:rsidP="00E223F9">
            <w:pPr>
              <w:pStyle w:val="ListParagraph"/>
              <w:numPr>
                <w:ilvl w:val="0"/>
                <w:numId w:val="8"/>
              </w:numPr>
              <w:spacing w:before="40"/>
              <w:rPr>
                <w:sz w:val="20"/>
                <w:szCs w:val="20"/>
                <w:lang w:val="fr-FR"/>
              </w:rPr>
            </w:pPr>
            <w:r w:rsidRPr="00E223F9">
              <w:rPr>
                <w:sz w:val="20"/>
                <w:szCs w:val="20"/>
                <w:lang w:val="fr-FR"/>
              </w:rPr>
              <w:t xml:space="preserve">Collaboration sur des questions intersectorielles (par exemple, le travail des enfants à Gaza), qui ont une incidence à la fois sur </w:t>
            </w:r>
            <w:r w:rsidR="000832F2">
              <w:rPr>
                <w:sz w:val="20"/>
                <w:szCs w:val="20"/>
                <w:lang w:val="fr-FR"/>
              </w:rPr>
              <w:lastRenderedPageBreak/>
              <w:t>l’Education et sur la Protection des Enfants</w:t>
            </w:r>
            <w:r w:rsidRPr="00E223F9">
              <w:rPr>
                <w:sz w:val="20"/>
                <w:szCs w:val="20"/>
                <w:lang w:val="fr-FR"/>
              </w:rPr>
              <w:t>. Des protocoles de partage de l’</w:t>
            </w:r>
            <w:r w:rsidR="000832F2">
              <w:rPr>
                <w:sz w:val="20"/>
                <w:szCs w:val="20"/>
                <w:lang w:val="fr-FR"/>
              </w:rPr>
              <w:t>information ont été établis</w:t>
            </w:r>
            <w:r w:rsidRPr="00E223F9">
              <w:rPr>
                <w:sz w:val="20"/>
                <w:szCs w:val="20"/>
                <w:lang w:val="fr-FR"/>
              </w:rPr>
              <w:t xml:space="preserve"> dans le</w:t>
            </w:r>
            <w:r w:rsidR="000832F2">
              <w:rPr>
                <w:sz w:val="20"/>
                <w:szCs w:val="20"/>
                <w:lang w:val="fr-FR"/>
              </w:rPr>
              <w:t xml:space="preserve"> cadre desquels</w:t>
            </w:r>
            <w:r w:rsidRPr="00E223F9">
              <w:rPr>
                <w:sz w:val="20"/>
                <w:szCs w:val="20"/>
                <w:lang w:val="fr-FR"/>
              </w:rPr>
              <w:t xml:space="preserve"> </w:t>
            </w:r>
            <w:r w:rsidR="000832F2">
              <w:rPr>
                <w:sz w:val="20"/>
                <w:szCs w:val="20"/>
                <w:lang w:val="fr-FR"/>
              </w:rPr>
              <w:t>l’information transversale</w:t>
            </w:r>
            <w:r w:rsidR="00AA3470">
              <w:rPr>
                <w:sz w:val="20"/>
                <w:szCs w:val="20"/>
                <w:lang w:val="fr-FR"/>
              </w:rPr>
              <w:t xml:space="preserve"> reçue</w:t>
            </w:r>
            <w:r w:rsidRPr="00E223F9">
              <w:rPr>
                <w:sz w:val="20"/>
                <w:szCs w:val="20"/>
                <w:lang w:val="fr-FR"/>
              </w:rPr>
              <w:t xml:space="preserve"> des partenaires </w:t>
            </w:r>
            <w:r w:rsidR="000832F2">
              <w:rPr>
                <w:sz w:val="20"/>
                <w:szCs w:val="20"/>
                <w:lang w:val="fr-FR"/>
              </w:rPr>
              <w:t xml:space="preserve">était communiquée par la gestion de l’information destinataire aux deux </w:t>
            </w:r>
            <w:r w:rsidR="00422F33">
              <w:rPr>
                <w:sz w:val="20"/>
                <w:szCs w:val="20"/>
                <w:lang w:val="fr-FR"/>
              </w:rPr>
              <w:t>coordo</w:t>
            </w:r>
            <w:r w:rsidR="00422F33" w:rsidRPr="00E223F9">
              <w:rPr>
                <w:sz w:val="20"/>
                <w:szCs w:val="20"/>
                <w:lang w:val="fr-FR"/>
              </w:rPr>
              <w:t>nnateurs</w:t>
            </w:r>
            <w:r w:rsidRPr="00E223F9">
              <w:rPr>
                <w:sz w:val="20"/>
                <w:szCs w:val="20"/>
                <w:lang w:val="fr-FR"/>
              </w:rPr>
              <w:t xml:space="preserve"> sectoriels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E223F9">
              <w:rPr>
                <w:sz w:val="20"/>
                <w:szCs w:val="20"/>
                <w:lang w:val="fr-FR"/>
              </w:rPr>
              <w:t>(</w:t>
            </w:r>
            <w:r w:rsidRPr="00E223F9">
              <w:rPr>
                <w:b/>
                <w:bCs/>
                <w:sz w:val="20"/>
                <w:szCs w:val="20"/>
                <w:lang w:val="fr-FR"/>
              </w:rPr>
              <w:t>oPt</w:t>
            </w:r>
            <w:r>
              <w:rPr>
                <w:sz w:val="20"/>
                <w:szCs w:val="20"/>
                <w:lang w:val="fr-FR"/>
              </w:rPr>
              <w:t>)</w:t>
            </w:r>
          </w:p>
          <w:p w14:paraId="63DA53AF" w14:textId="26704410" w:rsidR="00E223F9" w:rsidRPr="00E223F9" w:rsidRDefault="00E223F9" w:rsidP="00E223F9">
            <w:pPr>
              <w:pStyle w:val="ListParagraph"/>
              <w:numPr>
                <w:ilvl w:val="0"/>
                <w:numId w:val="8"/>
              </w:numPr>
              <w:spacing w:before="40"/>
              <w:rPr>
                <w:sz w:val="20"/>
                <w:szCs w:val="20"/>
                <w:lang w:val="fr-FR"/>
              </w:rPr>
            </w:pPr>
            <w:r w:rsidRPr="00E223F9">
              <w:rPr>
                <w:sz w:val="20"/>
                <w:szCs w:val="20"/>
                <w:lang w:val="fr-FR"/>
              </w:rPr>
              <w:t>Partage de l’information pour générer une intervention (p. ex. renvois de la gestion de cas partagés au C</w:t>
            </w:r>
            <w:r w:rsidR="006052DE">
              <w:rPr>
                <w:sz w:val="20"/>
                <w:szCs w:val="20"/>
                <w:lang w:val="fr-FR"/>
              </w:rPr>
              <w:t xml:space="preserve">luster </w:t>
            </w:r>
            <w:r w:rsidRPr="00E223F9">
              <w:rPr>
                <w:sz w:val="20"/>
                <w:szCs w:val="20"/>
                <w:lang w:val="fr-FR"/>
              </w:rPr>
              <w:t>P</w:t>
            </w:r>
            <w:r w:rsidR="006052DE">
              <w:rPr>
                <w:sz w:val="20"/>
                <w:szCs w:val="20"/>
                <w:lang w:val="fr-FR"/>
              </w:rPr>
              <w:t>rotection</w:t>
            </w:r>
            <w:r w:rsidRPr="00E223F9">
              <w:rPr>
                <w:sz w:val="20"/>
                <w:szCs w:val="20"/>
                <w:lang w:val="fr-FR"/>
              </w:rPr>
              <w:t>, attaques co</w:t>
            </w:r>
            <w:r w:rsidR="006052DE">
              <w:rPr>
                <w:sz w:val="20"/>
                <w:szCs w:val="20"/>
                <w:lang w:val="fr-FR"/>
              </w:rPr>
              <w:t>ntre l’éducation partagées à l’E</w:t>
            </w:r>
            <w:r w:rsidRPr="00E223F9">
              <w:rPr>
                <w:sz w:val="20"/>
                <w:szCs w:val="20"/>
                <w:lang w:val="fr-FR"/>
              </w:rPr>
              <w:t>ducation, incident scolaire nécessitant le soutien de la PFA p</w:t>
            </w:r>
            <w:r>
              <w:rPr>
                <w:sz w:val="20"/>
                <w:szCs w:val="20"/>
                <w:lang w:val="fr-FR"/>
              </w:rPr>
              <w:t>artagé au C</w:t>
            </w:r>
            <w:r w:rsidR="00E42F09">
              <w:rPr>
                <w:sz w:val="20"/>
                <w:szCs w:val="20"/>
                <w:lang w:val="fr-FR"/>
              </w:rPr>
              <w:t xml:space="preserve">luster </w:t>
            </w:r>
            <w:r>
              <w:rPr>
                <w:sz w:val="20"/>
                <w:szCs w:val="20"/>
                <w:lang w:val="fr-FR"/>
              </w:rPr>
              <w:t>P</w:t>
            </w:r>
            <w:r w:rsidR="00E42F09">
              <w:rPr>
                <w:sz w:val="20"/>
                <w:szCs w:val="20"/>
                <w:lang w:val="fr-FR"/>
              </w:rPr>
              <w:t>rotection</w:t>
            </w:r>
            <w:r w:rsidR="006052DE">
              <w:rPr>
                <w:sz w:val="20"/>
                <w:szCs w:val="20"/>
                <w:lang w:val="fr-FR"/>
              </w:rPr>
              <w:t xml:space="preserve"> pour la ré</w:t>
            </w:r>
            <w:r>
              <w:rPr>
                <w:sz w:val="20"/>
                <w:szCs w:val="20"/>
                <w:lang w:val="fr-FR"/>
              </w:rPr>
              <w:t>ponse</w:t>
            </w:r>
            <w:r w:rsidRPr="00E223F9">
              <w:rPr>
                <w:sz w:val="20"/>
                <w:szCs w:val="20"/>
                <w:lang w:val="fr-FR"/>
              </w:rPr>
              <w:t>) (Ukraine)</w:t>
            </w:r>
          </w:p>
          <w:p w14:paraId="52FDB648" w14:textId="59CA5CE7" w:rsidR="001C17D1" w:rsidRPr="00E42F09" w:rsidRDefault="001C17D1" w:rsidP="00E223F9">
            <w:pPr>
              <w:spacing w:before="40"/>
              <w:rPr>
                <w:sz w:val="20"/>
                <w:szCs w:val="20"/>
                <w:lang w:val="fr-FR"/>
              </w:rPr>
            </w:pPr>
          </w:p>
        </w:tc>
        <w:tc>
          <w:tcPr>
            <w:tcW w:w="874" w:type="pct"/>
          </w:tcPr>
          <w:p w14:paraId="73E4763C" w14:textId="5F473AAA" w:rsidR="00FA1E34" w:rsidRPr="00FA1E34" w:rsidRDefault="000151B9" w:rsidP="00FA1E34">
            <w:pPr>
              <w:pStyle w:val="ListParagraph"/>
              <w:numPr>
                <w:ilvl w:val="0"/>
                <w:numId w:val="13"/>
              </w:numPr>
              <w:spacing w:before="40" w:line="256" w:lineRule="auto"/>
              <w:ind w:left="312" w:hanging="284"/>
              <w:rPr>
                <w:sz w:val="20"/>
                <w:szCs w:val="20"/>
                <w:lang w:val="fr-FR"/>
              </w:rPr>
            </w:pPr>
            <w:r w:rsidRPr="00FA1E34">
              <w:rPr>
                <w:sz w:val="20"/>
                <w:szCs w:val="20"/>
                <w:lang w:val="fr-FR"/>
              </w:rPr>
              <w:lastRenderedPageBreak/>
              <w:t>Exemple de</w:t>
            </w:r>
            <w:r w:rsidR="00FA1E34" w:rsidRPr="00FA1E34">
              <w:rPr>
                <w:sz w:val="20"/>
                <w:szCs w:val="20"/>
                <w:lang w:val="fr-FR"/>
              </w:rPr>
              <w:t xml:space="preserve"> RDS conjointe</w:t>
            </w:r>
            <w:r w:rsidR="00FA1E34" w:rsidRPr="00FA1E34">
              <w:rPr>
                <w:sz w:val="20"/>
                <w:szCs w:val="20"/>
                <w:lang w:val="fr-FR"/>
              </w:rPr>
              <w:t xml:space="preserve"> (</w:t>
            </w:r>
            <w:r w:rsidR="00FA1E34" w:rsidRPr="00FA1E34">
              <w:rPr>
                <w:b/>
                <w:sz w:val="20"/>
                <w:szCs w:val="20"/>
                <w:lang w:val="fr-FR"/>
              </w:rPr>
              <w:t xml:space="preserve">Ukraine, </w:t>
            </w:r>
            <w:hyperlink r:id="rId11" w:history="1">
              <w:r w:rsidR="00FA1E34" w:rsidRPr="00FA1E34">
                <w:rPr>
                  <w:b/>
                  <w:sz w:val="20"/>
                  <w:szCs w:val="20"/>
                  <w:lang w:val="fr-FR"/>
                </w:rPr>
                <w:t>RD</w:t>
              </w:r>
              <w:r w:rsidR="00FA1E34" w:rsidRPr="00FA1E34">
                <w:rPr>
                  <w:b/>
                  <w:sz w:val="20"/>
                  <w:szCs w:val="20"/>
                </w:rPr>
                <w:t>C</w:t>
              </w:r>
              <w:r w:rsidR="00FA1E34" w:rsidRPr="00FA1E34">
                <w:rPr>
                  <w:rStyle w:val="Hyperlink"/>
                  <w:b/>
                  <w:sz w:val="20"/>
                  <w:szCs w:val="20"/>
                  <w:lang w:val="fr-FR"/>
                </w:rPr>
                <w:t xml:space="preserve">- </w:t>
              </w:r>
              <w:proofErr w:type="spellStart"/>
              <w:r w:rsidR="00FA1E34" w:rsidRPr="00FA1E34">
                <w:rPr>
                  <w:rStyle w:val="Hyperlink"/>
                  <w:sz w:val="20"/>
                  <w:szCs w:val="20"/>
                  <w:lang w:val="fr-FR"/>
                </w:rPr>
                <w:t>Kasai</w:t>
              </w:r>
              <w:proofErr w:type="spellEnd"/>
              <w:r w:rsidR="00FA1E34" w:rsidRPr="00FA1E34">
                <w:rPr>
                  <w:rStyle w:val="Hyperlink"/>
                  <w:sz w:val="20"/>
                  <w:szCs w:val="20"/>
                  <w:lang w:val="fr-FR"/>
                </w:rPr>
                <w:t xml:space="preserve"> 2016</w:t>
              </w:r>
            </w:hyperlink>
            <w:r w:rsidR="00FA1E34" w:rsidRPr="00FA1E34">
              <w:rPr>
                <w:b/>
                <w:sz w:val="20"/>
                <w:szCs w:val="20"/>
                <w:lang w:val="fr-FR"/>
              </w:rPr>
              <w:t xml:space="preserve">, </w:t>
            </w:r>
            <w:r w:rsidR="00FA1E34" w:rsidRPr="00FA1E34">
              <w:rPr>
                <w:b/>
                <w:sz w:val="20"/>
                <w:szCs w:val="20"/>
                <w:lang w:val="fr-FR"/>
              </w:rPr>
              <w:t>R</w:t>
            </w:r>
            <w:r w:rsidR="00FA1E34" w:rsidRPr="00FA1E34">
              <w:rPr>
                <w:b/>
                <w:sz w:val="20"/>
                <w:szCs w:val="20"/>
              </w:rPr>
              <w:t>DC</w:t>
            </w:r>
            <w:r w:rsidR="00FA1E34" w:rsidRPr="00FA1E34">
              <w:rPr>
                <w:b/>
                <w:sz w:val="20"/>
                <w:szCs w:val="20"/>
                <w:lang w:val="fr-FR"/>
              </w:rPr>
              <w:t xml:space="preserve"> </w:t>
            </w:r>
            <w:r w:rsidR="00FA1E34" w:rsidRPr="00FA1E34">
              <w:rPr>
                <w:bCs/>
                <w:sz w:val="20"/>
                <w:szCs w:val="20"/>
              </w:rPr>
              <w:t xml:space="preserve">2021 </w:t>
            </w:r>
            <w:hyperlink r:id="rId12" w:history="1">
              <w:r w:rsidR="00FA1E34" w:rsidRPr="00FA1E34">
                <w:rPr>
                  <w:rStyle w:val="Hyperlink"/>
                  <w:bCs/>
                  <w:sz w:val="20"/>
                  <w:szCs w:val="20"/>
                </w:rPr>
                <w:t>matrice</w:t>
              </w:r>
            </w:hyperlink>
            <w:r w:rsidR="00FA1E34" w:rsidRPr="00FA1E34">
              <w:rPr>
                <w:bCs/>
                <w:sz w:val="20"/>
                <w:szCs w:val="20"/>
              </w:rPr>
              <w:t xml:space="preserve"> and </w:t>
            </w:r>
            <w:hyperlink r:id="rId13" w:history="1">
              <w:r w:rsidR="00FA1E34" w:rsidRPr="00FA1E34">
                <w:rPr>
                  <w:rStyle w:val="Hyperlink"/>
                  <w:bCs/>
                  <w:sz w:val="20"/>
                  <w:szCs w:val="20"/>
                </w:rPr>
                <w:t>2-page</w:t>
              </w:r>
              <w:r w:rsidR="00FA1E34" w:rsidRPr="00FA1E34">
                <w:rPr>
                  <w:rStyle w:val="Hyperlink"/>
                  <w:b/>
                  <w:sz w:val="20"/>
                  <w:szCs w:val="20"/>
                </w:rPr>
                <w:t>r</w:t>
              </w:r>
            </w:hyperlink>
            <w:r w:rsidR="00FA1E34" w:rsidRPr="00FA1E34">
              <w:rPr>
                <w:sz w:val="20"/>
                <w:szCs w:val="20"/>
                <w:lang w:val="fr-FR"/>
              </w:rPr>
              <w:t>)</w:t>
            </w:r>
          </w:p>
          <w:p w14:paraId="41E0B195" w14:textId="66F0E916" w:rsidR="001C17D1" w:rsidRPr="000151B9" w:rsidRDefault="000151B9" w:rsidP="00FA1E34">
            <w:pPr>
              <w:pStyle w:val="ListParagraph"/>
              <w:numPr>
                <w:ilvl w:val="0"/>
                <w:numId w:val="8"/>
              </w:numPr>
              <w:spacing w:before="40"/>
              <w:ind w:left="428"/>
              <w:rPr>
                <w:sz w:val="20"/>
                <w:szCs w:val="20"/>
                <w:lang w:val="fr-FR"/>
              </w:rPr>
            </w:pPr>
            <w:r w:rsidRPr="000151B9">
              <w:rPr>
                <w:sz w:val="20"/>
                <w:szCs w:val="20"/>
                <w:lang w:val="fr-FR"/>
              </w:rPr>
              <w:t>Analyse conj</w:t>
            </w:r>
            <w:r>
              <w:rPr>
                <w:sz w:val="20"/>
                <w:szCs w:val="20"/>
                <w:lang w:val="fr-FR"/>
              </w:rPr>
              <w:t xml:space="preserve">ointe des besoins </w:t>
            </w:r>
            <w:r w:rsidR="001C17D1" w:rsidRPr="000151B9">
              <w:rPr>
                <w:sz w:val="20"/>
                <w:szCs w:val="20"/>
                <w:lang w:val="fr-FR"/>
              </w:rPr>
              <w:t>(</w:t>
            </w:r>
            <w:r w:rsidR="001C17D1" w:rsidRPr="000151B9">
              <w:rPr>
                <w:b/>
                <w:bCs/>
                <w:sz w:val="20"/>
                <w:szCs w:val="20"/>
                <w:lang w:val="fr-FR"/>
              </w:rPr>
              <w:t>oPt</w:t>
            </w:r>
            <w:r w:rsidR="001C17D1" w:rsidRPr="000151B9">
              <w:rPr>
                <w:sz w:val="20"/>
                <w:szCs w:val="20"/>
                <w:lang w:val="fr-FR"/>
              </w:rPr>
              <w:t xml:space="preserve">, </w:t>
            </w:r>
            <w:r>
              <w:rPr>
                <w:b/>
                <w:bCs/>
                <w:sz w:val="20"/>
                <w:szCs w:val="20"/>
                <w:lang w:val="fr-FR"/>
              </w:rPr>
              <w:t>Somalie</w:t>
            </w:r>
            <w:r w:rsidR="001C17D1" w:rsidRPr="000151B9">
              <w:rPr>
                <w:sz w:val="20"/>
                <w:szCs w:val="20"/>
                <w:lang w:val="fr-FR"/>
              </w:rPr>
              <w:t>)</w:t>
            </w:r>
          </w:p>
          <w:p w14:paraId="01795BCB" w14:textId="023AB936" w:rsidR="00264613" w:rsidRPr="00264613" w:rsidRDefault="000151B9" w:rsidP="00FA1E34">
            <w:pPr>
              <w:pStyle w:val="ListParagraph"/>
              <w:numPr>
                <w:ilvl w:val="0"/>
                <w:numId w:val="8"/>
              </w:numPr>
              <w:spacing w:before="40"/>
              <w:ind w:left="428"/>
              <w:rPr>
                <w:sz w:val="20"/>
                <w:szCs w:val="20"/>
                <w:lang w:val="fr-FR"/>
              </w:rPr>
            </w:pPr>
            <w:proofErr w:type="gramStart"/>
            <w:r w:rsidRPr="000151B9">
              <w:rPr>
                <w:sz w:val="20"/>
                <w:szCs w:val="20"/>
                <w:lang w:val="fr-FR"/>
              </w:rPr>
              <w:t>PiN:</w:t>
            </w:r>
            <w:proofErr w:type="gramEnd"/>
            <w:r w:rsidRPr="000151B9">
              <w:rPr>
                <w:sz w:val="20"/>
                <w:szCs w:val="20"/>
                <w:lang w:val="fr-FR"/>
              </w:rPr>
              <w:t xml:space="preserve"> Dan</w:t>
            </w:r>
            <w:r w:rsidR="00804291">
              <w:rPr>
                <w:sz w:val="20"/>
                <w:szCs w:val="20"/>
                <w:lang w:val="fr-FR"/>
              </w:rPr>
              <w:t>s des domaines spécifiques, le</w:t>
            </w:r>
            <w:r w:rsidR="00264613">
              <w:rPr>
                <w:sz w:val="20"/>
                <w:szCs w:val="20"/>
                <w:lang w:val="fr-FR"/>
              </w:rPr>
              <w:t xml:space="preserve"> </w:t>
            </w:r>
            <w:r w:rsidRPr="000151B9">
              <w:rPr>
                <w:sz w:val="20"/>
                <w:szCs w:val="20"/>
                <w:lang w:val="fr-FR"/>
              </w:rPr>
              <w:t>C</w:t>
            </w:r>
            <w:r w:rsidR="00804291">
              <w:rPr>
                <w:sz w:val="20"/>
                <w:szCs w:val="20"/>
                <w:lang w:val="fr-FR"/>
              </w:rPr>
              <w:t xml:space="preserve">luster </w:t>
            </w:r>
            <w:r w:rsidR="00264613">
              <w:rPr>
                <w:sz w:val="20"/>
                <w:szCs w:val="20"/>
                <w:lang w:val="fr-FR"/>
              </w:rPr>
              <w:t>P</w:t>
            </w:r>
            <w:r w:rsidR="00804291">
              <w:rPr>
                <w:sz w:val="20"/>
                <w:szCs w:val="20"/>
                <w:lang w:val="fr-FR"/>
              </w:rPr>
              <w:t>rotection et l’E</w:t>
            </w:r>
            <w:r w:rsidRPr="000151B9">
              <w:rPr>
                <w:sz w:val="20"/>
                <w:szCs w:val="20"/>
                <w:lang w:val="fr-FR"/>
              </w:rPr>
              <w:t xml:space="preserve">ducation se sont mis d’accord sur le pourcentage utilisé pour déterminer les enfants dans le besoin dans cette zone afin d’assurer l’alignement (oPt)   </w:t>
            </w:r>
          </w:p>
          <w:p w14:paraId="5BA5436B" w14:textId="7FE339F8" w:rsidR="001C17D1" w:rsidRPr="00264613" w:rsidRDefault="00264613" w:rsidP="00FA1E34">
            <w:pPr>
              <w:pStyle w:val="ListParagraph"/>
              <w:numPr>
                <w:ilvl w:val="0"/>
                <w:numId w:val="8"/>
              </w:numPr>
              <w:spacing w:before="40"/>
              <w:ind w:left="428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Examiner obligatoirement </w:t>
            </w:r>
            <w:r w:rsidR="001A500E">
              <w:rPr>
                <w:sz w:val="20"/>
                <w:szCs w:val="20"/>
                <w:lang w:val="fr-FR"/>
              </w:rPr>
              <w:t>le</w:t>
            </w:r>
            <w:r w:rsidRPr="00264613">
              <w:rPr>
                <w:sz w:val="20"/>
                <w:szCs w:val="20"/>
                <w:lang w:val="fr-FR"/>
              </w:rPr>
              <w:t xml:space="preserve"> chapitre</w:t>
            </w:r>
            <w:r w:rsidR="001A500E">
              <w:rPr>
                <w:sz w:val="20"/>
                <w:szCs w:val="20"/>
                <w:lang w:val="fr-FR"/>
              </w:rPr>
              <w:t>/ la stratégie de l’autre</w:t>
            </w:r>
            <w:r>
              <w:rPr>
                <w:sz w:val="20"/>
                <w:szCs w:val="20"/>
                <w:lang w:val="fr-FR"/>
              </w:rPr>
              <w:t xml:space="preserve"> secteur</w:t>
            </w:r>
            <w:r w:rsidR="001A500E">
              <w:rPr>
                <w:sz w:val="20"/>
                <w:szCs w:val="20"/>
                <w:lang w:val="fr-FR"/>
              </w:rPr>
              <w:t xml:space="preserve"> en matière d’</w:t>
            </w:r>
            <w:r>
              <w:rPr>
                <w:sz w:val="20"/>
                <w:szCs w:val="20"/>
                <w:lang w:val="fr-FR"/>
              </w:rPr>
              <w:t>Aperçus des Besoins</w:t>
            </w:r>
            <w:r w:rsidR="001A500E">
              <w:rPr>
                <w:sz w:val="20"/>
                <w:szCs w:val="20"/>
                <w:lang w:val="fr-FR"/>
              </w:rPr>
              <w:t xml:space="preserve"> Humanitaires (HNO)</w:t>
            </w:r>
            <w:r>
              <w:rPr>
                <w:sz w:val="20"/>
                <w:szCs w:val="20"/>
                <w:lang w:val="fr-FR"/>
              </w:rPr>
              <w:t xml:space="preserve"> pour assurer la complémentarité</w:t>
            </w:r>
            <w:r w:rsidR="001A500E">
              <w:rPr>
                <w:sz w:val="20"/>
                <w:szCs w:val="20"/>
                <w:lang w:val="fr-FR"/>
              </w:rPr>
              <w:t>, y compris l’harmonisation</w:t>
            </w:r>
            <w:r w:rsidRPr="00264613">
              <w:rPr>
                <w:sz w:val="20"/>
                <w:szCs w:val="20"/>
                <w:lang w:val="fr-FR"/>
              </w:rPr>
              <w:t xml:space="preserve"> dans les domaines prioritaires </w:t>
            </w:r>
            <w:r w:rsidR="001A500E">
              <w:rPr>
                <w:sz w:val="20"/>
                <w:szCs w:val="20"/>
                <w:lang w:val="fr-FR"/>
              </w:rPr>
              <w:t xml:space="preserve">ou il y a </w:t>
            </w:r>
            <w:r w:rsidR="001A500E">
              <w:rPr>
                <w:sz w:val="20"/>
                <w:szCs w:val="20"/>
                <w:lang w:val="fr-FR"/>
              </w:rPr>
              <w:lastRenderedPageBreak/>
              <w:t>des</w:t>
            </w:r>
            <w:r w:rsidRPr="00264613">
              <w:rPr>
                <w:sz w:val="20"/>
                <w:szCs w:val="20"/>
                <w:lang w:val="fr-FR"/>
              </w:rPr>
              <w:t xml:space="preserve"> besoin</w:t>
            </w:r>
            <w:r w:rsidR="001A500E">
              <w:rPr>
                <w:sz w:val="20"/>
                <w:szCs w:val="20"/>
                <w:lang w:val="fr-FR"/>
              </w:rPr>
              <w:t>s</w:t>
            </w:r>
            <w:r w:rsidRPr="00264613">
              <w:rPr>
                <w:sz w:val="20"/>
                <w:szCs w:val="20"/>
                <w:lang w:val="fr-FR"/>
              </w:rPr>
              <w:t xml:space="preserve"> et les personn</w:t>
            </w:r>
            <w:r w:rsidR="001A500E">
              <w:rPr>
                <w:sz w:val="20"/>
                <w:szCs w:val="20"/>
                <w:lang w:val="fr-FR"/>
              </w:rPr>
              <w:t xml:space="preserve">es prioritaires qui en ont </w:t>
            </w:r>
            <w:r>
              <w:rPr>
                <w:sz w:val="20"/>
                <w:szCs w:val="20"/>
                <w:lang w:val="fr-FR"/>
              </w:rPr>
              <w:t xml:space="preserve">besoin </w:t>
            </w:r>
            <w:r w:rsidR="001C17D1" w:rsidRPr="00264613">
              <w:rPr>
                <w:sz w:val="20"/>
                <w:szCs w:val="20"/>
                <w:lang w:val="fr-FR"/>
              </w:rPr>
              <w:t>(</w:t>
            </w:r>
            <w:r w:rsidR="001C17D1" w:rsidRPr="00264613">
              <w:rPr>
                <w:b/>
                <w:bCs/>
                <w:sz w:val="20"/>
                <w:szCs w:val="20"/>
                <w:lang w:val="fr-FR"/>
              </w:rPr>
              <w:t>oPt</w:t>
            </w:r>
            <w:r w:rsidR="001C17D1" w:rsidRPr="00264613">
              <w:rPr>
                <w:sz w:val="20"/>
                <w:szCs w:val="20"/>
                <w:lang w:val="fr-FR"/>
              </w:rPr>
              <w:t>)</w:t>
            </w:r>
          </w:p>
          <w:p w14:paraId="4583F364" w14:textId="1699CA94" w:rsidR="001C17D1" w:rsidRPr="00264613" w:rsidRDefault="00264613" w:rsidP="00FA1E34">
            <w:pPr>
              <w:pStyle w:val="ListParagraph"/>
              <w:numPr>
                <w:ilvl w:val="0"/>
                <w:numId w:val="8"/>
              </w:numPr>
              <w:spacing w:before="40"/>
              <w:ind w:left="428"/>
              <w:rPr>
                <w:sz w:val="20"/>
                <w:szCs w:val="20"/>
                <w:lang w:val="fr-FR"/>
              </w:rPr>
            </w:pPr>
            <w:r w:rsidRPr="00264613">
              <w:rPr>
                <w:sz w:val="20"/>
                <w:szCs w:val="20"/>
                <w:lang w:val="fr-FR"/>
              </w:rPr>
              <w:t>Seuils de gravité harmonisés entre les secteurs (</w:t>
            </w:r>
            <w:r w:rsidRPr="00264613">
              <w:rPr>
                <w:b/>
                <w:sz w:val="20"/>
                <w:szCs w:val="20"/>
                <w:lang w:val="fr-FR"/>
              </w:rPr>
              <w:t>Irak</w:t>
            </w:r>
            <w:r w:rsidRPr="00264613">
              <w:rPr>
                <w:sz w:val="20"/>
                <w:szCs w:val="20"/>
                <w:lang w:val="fr-FR"/>
              </w:rPr>
              <w:t xml:space="preserve"> – REACH MCNA)   </w:t>
            </w:r>
          </w:p>
          <w:p w14:paraId="2E8866E5" w14:textId="37B09A75" w:rsidR="00E11243" w:rsidRPr="00E11243" w:rsidRDefault="00264613" w:rsidP="00FA1E34">
            <w:pPr>
              <w:pStyle w:val="ListParagraph"/>
              <w:numPr>
                <w:ilvl w:val="0"/>
                <w:numId w:val="8"/>
              </w:numPr>
              <w:spacing w:before="40"/>
              <w:ind w:left="428"/>
              <w:rPr>
                <w:sz w:val="20"/>
                <w:szCs w:val="20"/>
                <w:lang w:val="fr-FR"/>
              </w:rPr>
            </w:pPr>
            <w:r w:rsidRPr="00264613">
              <w:rPr>
                <w:sz w:val="20"/>
                <w:szCs w:val="20"/>
                <w:lang w:val="fr-FR"/>
              </w:rPr>
              <w:t>Utiliser un ensemble de données/source commun pour comprendre les besoins (oPt – Le secteur de l’éducation utilise les enfants</w:t>
            </w:r>
            <w:r w:rsidR="00E11243">
              <w:rPr>
                <w:sz w:val="20"/>
                <w:szCs w:val="20"/>
                <w:lang w:val="fr-FR"/>
              </w:rPr>
              <w:t xml:space="preserve"> du</w:t>
            </w:r>
            <w:r w:rsidRPr="00264613">
              <w:rPr>
                <w:sz w:val="20"/>
                <w:szCs w:val="20"/>
                <w:lang w:val="fr-FR"/>
              </w:rPr>
              <w:t xml:space="preserve"> CP qui ont besoin d’une analyse </w:t>
            </w:r>
            <w:proofErr w:type="gramStart"/>
            <w:r w:rsidRPr="00264613">
              <w:rPr>
                <w:sz w:val="20"/>
                <w:szCs w:val="20"/>
                <w:lang w:val="fr-FR"/>
              </w:rPr>
              <w:t>PSS;</w:t>
            </w:r>
            <w:proofErr w:type="gramEnd"/>
            <w:r w:rsidRPr="00264613">
              <w:rPr>
                <w:sz w:val="20"/>
                <w:szCs w:val="20"/>
                <w:lang w:val="fr-FR"/>
              </w:rPr>
              <w:t xml:space="preserve"> Iraq – les deux secte</w:t>
            </w:r>
            <w:r w:rsidR="00E11243">
              <w:rPr>
                <w:sz w:val="20"/>
                <w:szCs w:val="20"/>
                <w:lang w:val="fr-FR"/>
              </w:rPr>
              <w:t>urs utilisent les données de l’</w:t>
            </w:r>
            <w:r w:rsidRPr="00264613">
              <w:rPr>
                <w:sz w:val="20"/>
                <w:szCs w:val="20"/>
                <w:lang w:val="fr-FR"/>
              </w:rPr>
              <w:t>I</w:t>
            </w:r>
            <w:r w:rsidR="00E11243">
              <w:rPr>
                <w:sz w:val="20"/>
                <w:szCs w:val="20"/>
                <w:lang w:val="fr-FR"/>
              </w:rPr>
              <w:t>O</w:t>
            </w:r>
            <w:r w:rsidRPr="00264613">
              <w:rPr>
                <w:sz w:val="20"/>
                <w:szCs w:val="20"/>
                <w:lang w:val="fr-FR"/>
              </w:rPr>
              <w:t xml:space="preserve">M pour évaluer les besoins du MHPSS)    </w:t>
            </w:r>
          </w:p>
        </w:tc>
        <w:tc>
          <w:tcPr>
            <w:tcW w:w="2524" w:type="pct"/>
          </w:tcPr>
          <w:p w14:paraId="4AF2A2FE" w14:textId="77777777" w:rsidR="00134E19" w:rsidRDefault="00CD0C7A" w:rsidP="00134E19">
            <w:pPr>
              <w:spacing w:before="40"/>
              <w:rPr>
                <w:sz w:val="20"/>
                <w:szCs w:val="20"/>
                <w:u w:val="single"/>
                <w:lang w:val="fr-FR"/>
              </w:rPr>
            </w:pPr>
            <w:r w:rsidRPr="00134E19">
              <w:rPr>
                <w:sz w:val="20"/>
                <w:szCs w:val="20"/>
                <w:u w:val="single"/>
                <w:lang w:val="fr-FR"/>
              </w:rPr>
              <w:lastRenderedPageBreak/>
              <w:t xml:space="preserve">Evaluation conjointe des besoins  </w:t>
            </w:r>
          </w:p>
          <w:p w14:paraId="3CA4D676" w14:textId="5963BD84" w:rsidR="00CD0C7A" w:rsidRPr="00134E19" w:rsidRDefault="00CD0C7A" w:rsidP="00134E19">
            <w:pPr>
              <w:pStyle w:val="ListParagraph"/>
              <w:numPr>
                <w:ilvl w:val="0"/>
                <w:numId w:val="12"/>
              </w:numPr>
              <w:spacing w:before="40"/>
              <w:rPr>
                <w:sz w:val="20"/>
                <w:szCs w:val="20"/>
                <w:u w:val="single"/>
                <w:lang w:val="fr-FR"/>
              </w:rPr>
            </w:pPr>
            <w:r w:rsidRPr="00134E19">
              <w:rPr>
                <w:sz w:val="20"/>
                <w:szCs w:val="20"/>
                <w:lang w:val="fr-FR"/>
              </w:rPr>
              <w:t xml:space="preserve">Développement conjoint d’outils et collecte conjointe de données. </w:t>
            </w:r>
            <w:proofErr w:type="spellStart"/>
            <w:r w:rsidRPr="00134E19">
              <w:rPr>
                <w:b/>
                <w:sz w:val="20"/>
                <w:szCs w:val="20"/>
                <w:lang w:val="fr-FR"/>
              </w:rPr>
              <w:t>Cox’s</w:t>
            </w:r>
            <w:proofErr w:type="spellEnd"/>
            <w:r w:rsidRPr="00134E19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4E19">
              <w:rPr>
                <w:b/>
                <w:sz w:val="20"/>
                <w:szCs w:val="20"/>
                <w:lang w:val="fr-FR"/>
              </w:rPr>
              <w:t>Bazaar</w:t>
            </w:r>
            <w:proofErr w:type="spellEnd"/>
            <w:r w:rsidRPr="00134E19">
              <w:rPr>
                <w:sz w:val="20"/>
                <w:szCs w:val="20"/>
                <w:lang w:val="fr-FR"/>
              </w:rPr>
              <w:t xml:space="preserve"> – </w:t>
            </w:r>
            <w:r w:rsidRPr="00134E19">
              <w:rPr>
                <w:color w:val="4472C4" w:themeColor="accent1"/>
                <w:sz w:val="20"/>
                <w:szCs w:val="20"/>
                <w:lang w:val="fr-FR"/>
              </w:rPr>
              <w:t xml:space="preserve">boîte à outils complète </w:t>
            </w:r>
          </w:p>
          <w:p w14:paraId="097931D3" w14:textId="23915AE5" w:rsidR="00CD0C7A" w:rsidRPr="00CD0C7A" w:rsidRDefault="00CD0C7A" w:rsidP="00CD0C7A">
            <w:pPr>
              <w:pStyle w:val="ListParagraph"/>
              <w:spacing w:before="40"/>
              <w:rPr>
                <w:sz w:val="20"/>
                <w:szCs w:val="20"/>
                <w:lang w:val="fr-FR"/>
              </w:rPr>
            </w:pPr>
            <w:r w:rsidRPr="00CD0C7A">
              <w:rPr>
                <w:sz w:val="20"/>
                <w:szCs w:val="20"/>
                <w:lang w:val="fr-FR"/>
              </w:rPr>
              <w:t>Evaluation</w:t>
            </w:r>
            <w:r w:rsidR="0080453A">
              <w:rPr>
                <w:sz w:val="20"/>
                <w:szCs w:val="20"/>
                <w:lang w:val="fr-FR"/>
              </w:rPr>
              <w:t xml:space="preserve"> de </w:t>
            </w:r>
            <w:r>
              <w:rPr>
                <w:sz w:val="20"/>
                <w:szCs w:val="20"/>
                <w:lang w:val="fr-FR"/>
              </w:rPr>
              <w:t>Termes des références</w:t>
            </w:r>
            <w:r w:rsidRPr="00CD0C7A">
              <w:rPr>
                <w:sz w:val="20"/>
                <w:szCs w:val="20"/>
                <w:lang w:val="fr-FR"/>
              </w:rPr>
              <w:t>, quest</w:t>
            </w:r>
            <w:r w:rsidR="00134E19">
              <w:rPr>
                <w:sz w:val="20"/>
                <w:szCs w:val="20"/>
                <w:lang w:val="fr-FR"/>
              </w:rPr>
              <w:t xml:space="preserve">ionnaires KI, checklist des </w:t>
            </w:r>
            <w:r w:rsidRPr="00CD0C7A">
              <w:rPr>
                <w:sz w:val="20"/>
                <w:szCs w:val="20"/>
                <w:lang w:val="fr-FR"/>
              </w:rPr>
              <w:t>observation</w:t>
            </w:r>
            <w:r w:rsidR="00134E19">
              <w:rPr>
                <w:sz w:val="20"/>
                <w:szCs w:val="20"/>
                <w:lang w:val="fr-FR"/>
              </w:rPr>
              <w:t>s</w:t>
            </w:r>
            <w:r w:rsidRPr="00CD0C7A">
              <w:rPr>
                <w:sz w:val="20"/>
                <w:szCs w:val="20"/>
                <w:lang w:val="fr-FR"/>
              </w:rPr>
              <w:t xml:space="preserve">, </w:t>
            </w:r>
            <w:r w:rsidRPr="00CD0C7A">
              <w:rPr>
                <w:color w:val="4472C4" w:themeColor="accent1"/>
                <w:sz w:val="20"/>
                <w:szCs w:val="20"/>
                <w:lang w:val="fr-FR"/>
              </w:rPr>
              <w:t>cartographie des ressources, at</w:t>
            </w:r>
            <w:r w:rsidR="00EB151D">
              <w:rPr>
                <w:color w:val="4472C4" w:themeColor="accent1"/>
                <w:sz w:val="20"/>
                <w:szCs w:val="20"/>
                <w:lang w:val="fr-FR"/>
              </w:rPr>
              <w:t>elier d’interprétation conjoint</w:t>
            </w:r>
            <w:r w:rsidRPr="00CD0C7A">
              <w:rPr>
                <w:sz w:val="20"/>
                <w:szCs w:val="20"/>
                <w:lang w:val="fr-FR"/>
              </w:rPr>
              <w:t xml:space="preserve">, exemple d’exportation     </w:t>
            </w:r>
            <w:r w:rsidR="000F7693" w:rsidRPr="00CD0C7A">
              <w:rPr>
                <w:sz w:val="20"/>
                <w:szCs w:val="20"/>
                <w:lang w:val="fr-FR"/>
              </w:rPr>
              <w:t xml:space="preserve"> </w:t>
            </w:r>
          </w:p>
          <w:p w14:paraId="1E38C60D" w14:textId="1A58CD13" w:rsidR="00CD0C7A" w:rsidRPr="00E42F09" w:rsidRDefault="00EB151D" w:rsidP="006E31CD">
            <w:pPr>
              <w:pStyle w:val="ListParagraph"/>
              <w:numPr>
                <w:ilvl w:val="0"/>
                <w:numId w:val="8"/>
              </w:numPr>
              <w:spacing w:before="40"/>
              <w:ind w:left="312" w:hanging="284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E</w:t>
            </w:r>
            <w:r w:rsidR="00CD0C7A" w:rsidRPr="00E42F09">
              <w:rPr>
                <w:sz w:val="20"/>
                <w:szCs w:val="20"/>
                <w:lang w:val="fr-FR"/>
              </w:rPr>
              <w:t xml:space="preserve">valuation conjointe des besoins (Afghanistan) - </w:t>
            </w:r>
            <w:r w:rsidR="00CD0C7A" w:rsidRPr="00E42F09">
              <w:rPr>
                <w:color w:val="4472C4" w:themeColor="accent1"/>
                <w:sz w:val="20"/>
                <w:szCs w:val="20"/>
                <w:lang w:val="fr-FR"/>
              </w:rPr>
              <w:t xml:space="preserve">rapport avec outil en annexe   </w:t>
            </w:r>
          </w:p>
          <w:p w14:paraId="081CDA6F" w14:textId="335C7CF4" w:rsidR="0037509F" w:rsidRDefault="00CD0C7A" w:rsidP="00CD0C7A">
            <w:pPr>
              <w:pStyle w:val="ListParagraph"/>
              <w:numPr>
                <w:ilvl w:val="0"/>
                <w:numId w:val="8"/>
              </w:numPr>
              <w:spacing w:before="40"/>
              <w:ind w:left="312" w:hanging="284"/>
              <w:rPr>
                <w:sz w:val="20"/>
                <w:szCs w:val="20"/>
                <w:lang w:val="fr-FR"/>
              </w:rPr>
            </w:pPr>
            <w:r w:rsidRPr="00CD0C7A">
              <w:rPr>
                <w:sz w:val="20"/>
                <w:szCs w:val="20"/>
                <w:lang w:val="fr-FR"/>
              </w:rPr>
              <w:t xml:space="preserve">Évaluation conjointe des besoins </w:t>
            </w:r>
            <w:r w:rsidRPr="00CD0C7A">
              <w:rPr>
                <w:b/>
                <w:sz w:val="20"/>
                <w:szCs w:val="20"/>
                <w:lang w:val="fr-FR"/>
              </w:rPr>
              <w:t>(Somalie</w:t>
            </w:r>
            <w:proofErr w:type="gramStart"/>
            <w:r w:rsidRPr="00CD0C7A">
              <w:rPr>
                <w:sz w:val="20"/>
                <w:szCs w:val="20"/>
                <w:lang w:val="fr-FR"/>
              </w:rPr>
              <w:t>);</w:t>
            </w:r>
            <w:proofErr w:type="gramEnd"/>
            <w:r w:rsidRPr="00CD0C7A">
              <w:rPr>
                <w:sz w:val="20"/>
                <w:szCs w:val="20"/>
                <w:lang w:val="fr-FR"/>
              </w:rPr>
              <w:t xml:space="preserve">  </w:t>
            </w:r>
          </w:p>
          <w:p w14:paraId="350FB554" w14:textId="7450E4E9" w:rsidR="0037509F" w:rsidRPr="008D5984" w:rsidRDefault="00CD0C7A" w:rsidP="008D5984">
            <w:pPr>
              <w:pStyle w:val="ListParagraph"/>
              <w:numPr>
                <w:ilvl w:val="0"/>
                <w:numId w:val="8"/>
              </w:numPr>
              <w:spacing w:before="40"/>
              <w:ind w:left="312" w:hanging="284"/>
              <w:rPr>
                <w:sz w:val="20"/>
                <w:szCs w:val="20"/>
                <w:lang w:val="fr-FR"/>
              </w:rPr>
            </w:pPr>
            <w:r w:rsidRPr="008D5984">
              <w:rPr>
                <w:sz w:val="20"/>
                <w:szCs w:val="20"/>
                <w:lang w:val="fr-FR"/>
              </w:rPr>
              <w:t>Consultations conjointes avec les partenaires pour mieux comprendre les besoins des enfants sur des questions spécifiques (</w:t>
            </w:r>
            <w:r w:rsidRPr="008D5984">
              <w:rPr>
                <w:b/>
                <w:sz w:val="20"/>
                <w:szCs w:val="20"/>
                <w:lang w:val="fr-FR"/>
              </w:rPr>
              <w:t xml:space="preserve">oPt)   </w:t>
            </w:r>
          </w:p>
          <w:p w14:paraId="7051F88E" w14:textId="573E8981" w:rsidR="001C17D1" w:rsidRPr="00CD0C7A" w:rsidRDefault="001C17D1" w:rsidP="000F7693">
            <w:pPr>
              <w:spacing w:before="40"/>
              <w:rPr>
                <w:sz w:val="20"/>
                <w:szCs w:val="20"/>
                <w:lang w:val="fr-FR"/>
              </w:rPr>
            </w:pPr>
          </w:p>
          <w:p w14:paraId="4D225064" w14:textId="599416B2" w:rsidR="001C17D1" w:rsidRPr="008D5984" w:rsidRDefault="008D5984" w:rsidP="001C17D1">
            <w:pPr>
              <w:spacing w:before="40"/>
              <w:ind w:left="28"/>
              <w:rPr>
                <w:sz w:val="20"/>
                <w:szCs w:val="20"/>
                <w:u w:val="single"/>
                <w:lang w:val="fr-FR"/>
              </w:rPr>
            </w:pPr>
            <w:r w:rsidRPr="008D5984">
              <w:rPr>
                <w:sz w:val="20"/>
                <w:szCs w:val="20"/>
                <w:u w:val="single"/>
                <w:lang w:val="fr-FR"/>
              </w:rPr>
              <w:t>Évaluations des besoins d’un seul secteur</w:t>
            </w:r>
            <w:r>
              <w:rPr>
                <w:sz w:val="20"/>
                <w:szCs w:val="20"/>
                <w:u w:val="single"/>
                <w:lang w:val="fr-FR"/>
              </w:rPr>
              <w:t xml:space="preserve"> </w:t>
            </w:r>
          </w:p>
          <w:p w14:paraId="3872E7D1" w14:textId="7CC1E797" w:rsidR="001C17D1" w:rsidRPr="008D5984" w:rsidRDefault="008D5984" w:rsidP="00350F5F">
            <w:pPr>
              <w:spacing w:before="40"/>
              <w:rPr>
                <w:sz w:val="20"/>
                <w:szCs w:val="20"/>
                <w:lang w:val="fr-FR"/>
              </w:rPr>
            </w:pPr>
            <w:r w:rsidRPr="008D5984">
              <w:rPr>
                <w:sz w:val="20"/>
                <w:szCs w:val="20"/>
                <w:lang w:val="fr-FR"/>
              </w:rPr>
              <w:t>Consulter l’autre secteur et intégrer certaines questions, p. ex. inclure les ques</w:t>
            </w:r>
            <w:r w:rsidR="00EB151D">
              <w:rPr>
                <w:sz w:val="20"/>
                <w:szCs w:val="20"/>
                <w:lang w:val="fr-FR"/>
              </w:rPr>
              <w:t>tions de la Protection des Enfants</w:t>
            </w:r>
            <w:r w:rsidRPr="008D5984">
              <w:rPr>
                <w:sz w:val="20"/>
                <w:szCs w:val="20"/>
                <w:lang w:val="fr-FR"/>
              </w:rPr>
              <w:t xml:space="preserve"> dans les évaluations de l’éducation, p. ex. :    </w:t>
            </w:r>
          </w:p>
          <w:p w14:paraId="4DC0CA9B" w14:textId="1BA7BBB2" w:rsidR="008D5984" w:rsidRPr="008D5984" w:rsidRDefault="00E42F09" w:rsidP="008D5984">
            <w:pPr>
              <w:pStyle w:val="ListParagraph"/>
              <w:numPr>
                <w:ilvl w:val="0"/>
                <w:numId w:val="8"/>
              </w:numPr>
              <w:spacing w:before="4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Le Cluster E</w:t>
            </w:r>
            <w:r w:rsidR="008D5984" w:rsidRPr="008D5984">
              <w:rPr>
                <w:sz w:val="20"/>
                <w:szCs w:val="20"/>
                <w:lang w:val="fr-FR"/>
              </w:rPr>
              <w:t xml:space="preserve">ducation a une bonne couverture de collecte de données grâce à l’enquête du </w:t>
            </w:r>
            <w:r w:rsidR="008D5984">
              <w:rPr>
                <w:sz w:val="20"/>
                <w:szCs w:val="20"/>
                <w:lang w:val="fr-FR"/>
              </w:rPr>
              <w:t>Ministère</w:t>
            </w:r>
            <w:r w:rsidR="008D5984" w:rsidRPr="008D5984">
              <w:rPr>
                <w:sz w:val="20"/>
                <w:szCs w:val="20"/>
                <w:lang w:val="fr-FR"/>
              </w:rPr>
              <w:t xml:space="preserve"> de l’éducation</w:t>
            </w:r>
            <w:r w:rsidR="008D5984">
              <w:rPr>
                <w:sz w:val="20"/>
                <w:szCs w:val="20"/>
                <w:lang w:val="fr-FR"/>
              </w:rPr>
              <w:t xml:space="preserve"> national</w:t>
            </w:r>
            <w:r w:rsidR="008D5984" w:rsidRPr="008D5984">
              <w:rPr>
                <w:sz w:val="20"/>
                <w:szCs w:val="20"/>
                <w:lang w:val="fr-FR"/>
              </w:rPr>
              <w:t>, tandis que le C</w:t>
            </w:r>
            <w:r>
              <w:rPr>
                <w:sz w:val="20"/>
                <w:szCs w:val="20"/>
                <w:lang w:val="fr-FR"/>
              </w:rPr>
              <w:t xml:space="preserve">luster </w:t>
            </w:r>
            <w:r w:rsidR="008D5984" w:rsidRPr="008D5984">
              <w:rPr>
                <w:sz w:val="20"/>
                <w:szCs w:val="20"/>
                <w:lang w:val="fr-FR"/>
              </w:rPr>
              <w:t>P</w:t>
            </w:r>
            <w:r>
              <w:rPr>
                <w:sz w:val="20"/>
                <w:szCs w:val="20"/>
                <w:lang w:val="fr-FR"/>
              </w:rPr>
              <w:t>rotection</w:t>
            </w:r>
            <w:r w:rsidR="008D5984" w:rsidRPr="008D5984">
              <w:rPr>
                <w:sz w:val="20"/>
                <w:szCs w:val="20"/>
                <w:lang w:val="fr-FR"/>
              </w:rPr>
              <w:t xml:space="preserve"> n’a p</w:t>
            </w:r>
            <w:r>
              <w:rPr>
                <w:sz w:val="20"/>
                <w:szCs w:val="20"/>
                <w:lang w:val="fr-FR"/>
              </w:rPr>
              <w:t>as accès à de tels systèmes. Le Cluster E</w:t>
            </w:r>
            <w:r w:rsidR="008D5984" w:rsidRPr="008D5984">
              <w:rPr>
                <w:sz w:val="20"/>
                <w:szCs w:val="20"/>
                <w:lang w:val="fr-FR"/>
              </w:rPr>
              <w:t xml:space="preserve">ducation inclut une section </w:t>
            </w:r>
            <w:r>
              <w:rPr>
                <w:sz w:val="20"/>
                <w:szCs w:val="20"/>
                <w:lang w:val="fr-FR"/>
              </w:rPr>
              <w:t xml:space="preserve">du </w:t>
            </w:r>
            <w:r w:rsidR="008D5984" w:rsidRPr="008D5984">
              <w:rPr>
                <w:sz w:val="20"/>
                <w:szCs w:val="20"/>
                <w:lang w:val="fr-FR"/>
              </w:rPr>
              <w:t>C</w:t>
            </w:r>
            <w:r>
              <w:rPr>
                <w:sz w:val="20"/>
                <w:szCs w:val="20"/>
                <w:lang w:val="fr-FR"/>
              </w:rPr>
              <w:t xml:space="preserve">luster </w:t>
            </w:r>
            <w:r w:rsidR="008D5984" w:rsidRPr="008D5984">
              <w:rPr>
                <w:sz w:val="20"/>
                <w:szCs w:val="20"/>
                <w:lang w:val="fr-FR"/>
              </w:rPr>
              <w:t>P</w:t>
            </w:r>
            <w:r>
              <w:rPr>
                <w:sz w:val="20"/>
                <w:szCs w:val="20"/>
                <w:lang w:val="fr-FR"/>
              </w:rPr>
              <w:t>rotection</w:t>
            </w:r>
            <w:r w:rsidR="008D5984" w:rsidRPr="008D5984">
              <w:rPr>
                <w:sz w:val="20"/>
                <w:szCs w:val="20"/>
                <w:lang w:val="fr-FR"/>
              </w:rPr>
              <w:t xml:space="preserve"> dans leur enquête pour tirer parti de la couverture des systèmes é</w:t>
            </w:r>
            <w:r>
              <w:rPr>
                <w:sz w:val="20"/>
                <w:szCs w:val="20"/>
                <w:lang w:val="fr-FR"/>
              </w:rPr>
              <w:t xml:space="preserve">ducatifs nationaux au profit du </w:t>
            </w:r>
            <w:r w:rsidR="008D5984" w:rsidRPr="008D5984">
              <w:rPr>
                <w:sz w:val="20"/>
                <w:szCs w:val="20"/>
                <w:lang w:val="fr-FR"/>
              </w:rPr>
              <w:t>C</w:t>
            </w:r>
            <w:r>
              <w:rPr>
                <w:sz w:val="20"/>
                <w:szCs w:val="20"/>
                <w:lang w:val="fr-FR"/>
              </w:rPr>
              <w:t xml:space="preserve">luster </w:t>
            </w:r>
            <w:r w:rsidR="008D5984" w:rsidRPr="008D5984">
              <w:rPr>
                <w:sz w:val="20"/>
                <w:szCs w:val="20"/>
                <w:lang w:val="fr-FR"/>
              </w:rPr>
              <w:t>P</w:t>
            </w:r>
            <w:r>
              <w:rPr>
                <w:sz w:val="20"/>
                <w:szCs w:val="20"/>
                <w:lang w:val="fr-FR"/>
              </w:rPr>
              <w:t>rotection</w:t>
            </w:r>
            <w:r w:rsidR="008D5984" w:rsidRPr="008D5984">
              <w:rPr>
                <w:sz w:val="20"/>
                <w:szCs w:val="20"/>
                <w:lang w:val="fr-FR"/>
              </w:rPr>
              <w:t xml:space="preserve"> (</w:t>
            </w:r>
            <w:r w:rsidR="008D5984" w:rsidRPr="008D5984">
              <w:rPr>
                <w:b/>
                <w:sz w:val="20"/>
                <w:szCs w:val="20"/>
                <w:lang w:val="fr-FR"/>
              </w:rPr>
              <w:t>Ukraine</w:t>
            </w:r>
            <w:r w:rsidR="008D5984" w:rsidRPr="008D5984">
              <w:rPr>
                <w:sz w:val="20"/>
                <w:szCs w:val="20"/>
                <w:lang w:val="fr-FR"/>
              </w:rPr>
              <w:t xml:space="preserve">)        </w:t>
            </w:r>
          </w:p>
          <w:p w14:paraId="435BAFEE" w14:textId="116DCFE1" w:rsidR="008D5984" w:rsidRPr="008D5984" w:rsidRDefault="00EB151D" w:rsidP="008D5984">
            <w:pPr>
              <w:pStyle w:val="ListParagraph"/>
              <w:numPr>
                <w:ilvl w:val="0"/>
                <w:numId w:val="8"/>
              </w:numPr>
              <w:spacing w:before="4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Dans le cadre de l’</w:t>
            </w:r>
            <w:r w:rsidR="008D5984">
              <w:rPr>
                <w:sz w:val="20"/>
                <w:szCs w:val="20"/>
                <w:lang w:val="fr-FR"/>
              </w:rPr>
              <w:t xml:space="preserve">Éducation conjointe N.A. </w:t>
            </w:r>
            <w:r w:rsidR="008D5984" w:rsidRPr="008D5984">
              <w:rPr>
                <w:sz w:val="20"/>
                <w:szCs w:val="20"/>
                <w:lang w:val="fr-FR"/>
              </w:rPr>
              <w:t xml:space="preserve">2019 </w:t>
            </w:r>
            <w:r>
              <w:rPr>
                <w:sz w:val="20"/>
                <w:szCs w:val="20"/>
                <w:lang w:val="fr-FR"/>
              </w:rPr>
              <w:t xml:space="preserve">on a </w:t>
            </w:r>
            <w:proofErr w:type="gramStart"/>
            <w:r>
              <w:rPr>
                <w:sz w:val="20"/>
                <w:szCs w:val="20"/>
                <w:lang w:val="fr-FR"/>
              </w:rPr>
              <w:t>des tenu</w:t>
            </w:r>
            <w:proofErr w:type="gramEnd"/>
            <w:r>
              <w:rPr>
                <w:sz w:val="20"/>
                <w:szCs w:val="20"/>
                <w:lang w:val="fr-FR"/>
              </w:rPr>
              <w:t xml:space="preserve"> des</w:t>
            </w:r>
            <w:r w:rsidR="008D5984" w:rsidRPr="008D5984">
              <w:rPr>
                <w:sz w:val="20"/>
                <w:szCs w:val="20"/>
                <w:lang w:val="fr-FR"/>
              </w:rPr>
              <w:t xml:space="preserve"> consultation</w:t>
            </w:r>
            <w:r>
              <w:rPr>
                <w:sz w:val="20"/>
                <w:szCs w:val="20"/>
                <w:lang w:val="fr-FR"/>
              </w:rPr>
              <w:t>s avec le CPWG pour</w:t>
            </w:r>
            <w:r w:rsidR="008D5984" w:rsidRPr="008D5984">
              <w:rPr>
                <w:sz w:val="20"/>
                <w:szCs w:val="20"/>
                <w:lang w:val="fr-FR"/>
              </w:rPr>
              <w:t xml:space="preserve"> l’élabor</w:t>
            </w:r>
            <w:r w:rsidR="005F74CF">
              <w:rPr>
                <w:sz w:val="20"/>
                <w:szCs w:val="20"/>
                <w:lang w:val="fr-FR"/>
              </w:rPr>
              <w:t>ation des questions li</w:t>
            </w:r>
            <w:r>
              <w:rPr>
                <w:sz w:val="20"/>
                <w:szCs w:val="20"/>
                <w:lang w:val="fr-FR"/>
              </w:rPr>
              <w:t>ées à la Protection des E</w:t>
            </w:r>
            <w:r w:rsidR="002B1367">
              <w:rPr>
                <w:sz w:val="20"/>
                <w:szCs w:val="20"/>
                <w:lang w:val="fr-FR"/>
              </w:rPr>
              <w:t>nfants</w:t>
            </w:r>
            <w:r w:rsidR="005F74CF">
              <w:rPr>
                <w:sz w:val="20"/>
                <w:szCs w:val="20"/>
                <w:lang w:val="fr-FR"/>
              </w:rPr>
              <w:t xml:space="preserve"> </w:t>
            </w:r>
            <w:r w:rsidR="008D5984" w:rsidRPr="008D5984">
              <w:rPr>
                <w:sz w:val="20"/>
                <w:szCs w:val="20"/>
                <w:lang w:val="fr-FR"/>
              </w:rPr>
              <w:t xml:space="preserve">avant le déploiement de l’évaluation des besoins </w:t>
            </w:r>
            <w:r w:rsidR="008D5984" w:rsidRPr="008D5984">
              <w:rPr>
                <w:b/>
                <w:sz w:val="20"/>
                <w:szCs w:val="20"/>
                <w:lang w:val="fr-FR"/>
              </w:rPr>
              <w:t>(Libye</w:t>
            </w:r>
            <w:r w:rsidR="008D5984" w:rsidRPr="008D5984">
              <w:rPr>
                <w:sz w:val="20"/>
                <w:szCs w:val="20"/>
                <w:lang w:val="fr-FR"/>
              </w:rPr>
              <w:t xml:space="preserve">)     </w:t>
            </w:r>
          </w:p>
          <w:p w14:paraId="02CCD3A9" w14:textId="02A85777" w:rsidR="00350F5F" w:rsidRPr="004C642E" w:rsidRDefault="004C642E" w:rsidP="004C642E">
            <w:pPr>
              <w:pStyle w:val="ListParagraph"/>
              <w:numPr>
                <w:ilvl w:val="0"/>
                <w:numId w:val="8"/>
              </w:numPr>
              <w:spacing w:before="40"/>
              <w:rPr>
                <w:sz w:val="20"/>
                <w:szCs w:val="20"/>
                <w:lang w:val="fr-FR"/>
              </w:rPr>
            </w:pPr>
            <w:r w:rsidRPr="004C642E">
              <w:rPr>
                <w:sz w:val="20"/>
                <w:szCs w:val="20"/>
                <w:lang w:val="fr-FR"/>
              </w:rPr>
              <w:t>REACH et EiE WG Afghanistan 2017 co</w:t>
            </w:r>
            <w:r w:rsidR="00E42F09">
              <w:rPr>
                <w:sz w:val="20"/>
                <w:szCs w:val="20"/>
                <w:lang w:val="fr-FR"/>
              </w:rPr>
              <w:t xml:space="preserve">mprenaient des questions sur la </w:t>
            </w:r>
            <w:r>
              <w:rPr>
                <w:sz w:val="20"/>
                <w:szCs w:val="20"/>
                <w:lang w:val="fr-FR"/>
              </w:rPr>
              <w:t>P</w:t>
            </w:r>
            <w:r w:rsidR="002B1367">
              <w:rPr>
                <w:sz w:val="20"/>
                <w:szCs w:val="20"/>
                <w:lang w:val="fr-FR"/>
              </w:rPr>
              <w:t>rotection des enfants</w:t>
            </w:r>
            <w:r w:rsidRPr="004C642E">
              <w:rPr>
                <w:sz w:val="20"/>
                <w:szCs w:val="20"/>
                <w:lang w:val="fr-FR"/>
              </w:rPr>
              <w:t xml:space="preserve"> (</w:t>
            </w:r>
            <w:r w:rsidRPr="004C642E">
              <w:rPr>
                <w:b/>
                <w:sz w:val="20"/>
                <w:szCs w:val="20"/>
                <w:lang w:val="fr-FR"/>
              </w:rPr>
              <w:t>Afghanistan)</w:t>
            </w:r>
            <w:r w:rsidRPr="004C642E">
              <w:rPr>
                <w:sz w:val="20"/>
                <w:szCs w:val="20"/>
                <w:lang w:val="fr-FR"/>
              </w:rPr>
              <w:t xml:space="preserve">   </w:t>
            </w:r>
          </w:p>
          <w:p w14:paraId="75278DEC" w14:textId="77777777" w:rsidR="00350F5F" w:rsidRPr="004C642E" w:rsidRDefault="00350F5F" w:rsidP="00350F5F">
            <w:pPr>
              <w:pStyle w:val="ListParagraph"/>
              <w:spacing w:before="40"/>
              <w:ind w:left="312"/>
              <w:rPr>
                <w:sz w:val="20"/>
                <w:szCs w:val="20"/>
                <w:lang w:val="fr-FR"/>
              </w:rPr>
            </w:pPr>
          </w:p>
          <w:p w14:paraId="404233BE" w14:textId="6661C0CC" w:rsidR="00350F5F" w:rsidRDefault="004C642E" w:rsidP="004C642E">
            <w:pPr>
              <w:spacing w:before="40"/>
              <w:ind w:left="28"/>
              <w:rPr>
                <w:sz w:val="20"/>
                <w:szCs w:val="20"/>
                <w:lang w:val="fr-FR"/>
              </w:rPr>
            </w:pPr>
            <w:r w:rsidRPr="004C642E">
              <w:rPr>
                <w:sz w:val="20"/>
                <w:szCs w:val="20"/>
                <w:lang w:val="fr-FR"/>
              </w:rPr>
              <w:t xml:space="preserve">Signaler la nécessité d’autres évaluations sectorielles, par exemple une évaluation de l’éducation a révélé la prévalence de la violence physique, émotionnelle et sexuelle </w:t>
            </w:r>
            <w:r w:rsidRPr="004C642E">
              <w:rPr>
                <w:sz w:val="20"/>
                <w:szCs w:val="20"/>
                <w:lang w:val="fr-FR"/>
              </w:rPr>
              <w:lastRenderedPageBreak/>
              <w:t>dans les internat</w:t>
            </w:r>
            <w:r>
              <w:rPr>
                <w:sz w:val="20"/>
                <w:szCs w:val="20"/>
                <w:lang w:val="fr-FR"/>
              </w:rPr>
              <w:t xml:space="preserve">s, ce qui a conduit le </w:t>
            </w:r>
            <w:proofErr w:type="gramStart"/>
            <w:r>
              <w:rPr>
                <w:sz w:val="20"/>
                <w:szCs w:val="20"/>
                <w:lang w:val="fr-FR"/>
              </w:rPr>
              <w:t xml:space="preserve">secteur </w:t>
            </w:r>
            <w:r w:rsidR="00EB151D">
              <w:rPr>
                <w:sz w:val="20"/>
                <w:szCs w:val="20"/>
                <w:lang w:val="fr-FR"/>
              </w:rPr>
              <w:t xml:space="preserve"> de</w:t>
            </w:r>
            <w:proofErr w:type="gramEnd"/>
            <w:r w:rsidR="00EB151D">
              <w:rPr>
                <w:sz w:val="20"/>
                <w:szCs w:val="20"/>
                <w:lang w:val="fr-FR"/>
              </w:rPr>
              <w:t xml:space="preserve"> l’</w:t>
            </w:r>
            <w:r>
              <w:rPr>
                <w:sz w:val="20"/>
                <w:szCs w:val="20"/>
                <w:lang w:val="fr-FR"/>
              </w:rPr>
              <w:t>E</w:t>
            </w:r>
            <w:r w:rsidRPr="004C642E">
              <w:rPr>
                <w:sz w:val="20"/>
                <w:szCs w:val="20"/>
                <w:lang w:val="fr-FR"/>
              </w:rPr>
              <w:t>iE à signaler la nécessité d’une évaluati</w:t>
            </w:r>
            <w:r w:rsidR="00412CD7">
              <w:rPr>
                <w:sz w:val="20"/>
                <w:szCs w:val="20"/>
                <w:lang w:val="fr-FR"/>
              </w:rPr>
              <w:t>on de la Protection des</w:t>
            </w:r>
            <w:r w:rsidR="00B95ADA">
              <w:rPr>
                <w:sz w:val="20"/>
                <w:szCs w:val="20"/>
                <w:lang w:val="fr-FR"/>
              </w:rPr>
              <w:t xml:space="preserve"> Enfants</w:t>
            </w:r>
            <w:r>
              <w:rPr>
                <w:sz w:val="20"/>
                <w:szCs w:val="20"/>
                <w:lang w:val="fr-FR"/>
              </w:rPr>
              <w:t xml:space="preserve"> à ces</w:t>
            </w:r>
            <w:r w:rsidRPr="004C642E">
              <w:rPr>
                <w:sz w:val="20"/>
                <w:szCs w:val="20"/>
                <w:lang w:val="fr-FR"/>
              </w:rPr>
              <w:t xml:space="preserve"> endroits </w:t>
            </w:r>
            <w:r w:rsidRPr="004C642E">
              <w:rPr>
                <w:b/>
                <w:sz w:val="20"/>
                <w:szCs w:val="20"/>
                <w:lang w:val="fr-FR"/>
              </w:rPr>
              <w:t>(Myanmar)</w:t>
            </w:r>
            <w:r w:rsidRPr="004C642E">
              <w:rPr>
                <w:sz w:val="20"/>
                <w:szCs w:val="20"/>
                <w:lang w:val="fr-FR"/>
              </w:rPr>
              <w:t xml:space="preserve">     </w:t>
            </w:r>
          </w:p>
          <w:p w14:paraId="13C02E17" w14:textId="77777777" w:rsidR="004C642E" w:rsidRPr="004C642E" w:rsidRDefault="004C642E" w:rsidP="004C642E">
            <w:pPr>
              <w:spacing w:before="40"/>
              <w:ind w:left="28"/>
              <w:rPr>
                <w:sz w:val="20"/>
                <w:szCs w:val="20"/>
                <w:lang w:val="fr-FR"/>
              </w:rPr>
            </w:pPr>
          </w:p>
          <w:p w14:paraId="5E593747" w14:textId="77777777" w:rsidR="004C642E" w:rsidRDefault="004C642E" w:rsidP="00350F5F">
            <w:pPr>
              <w:spacing w:before="40"/>
              <w:rPr>
                <w:sz w:val="20"/>
                <w:szCs w:val="20"/>
                <w:lang w:val="fr-FR"/>
              </w:rPr>
            </w:pPr>
            <w:r w:rsidRPr="004C642E">
              <w:rPr>
                <w:sz w:val="20"/>
                <w:szCs w:val="20"/>
                <w:lang w:val="fr-FR"/>
              </w:rPr>
              <w:t xml:space="preserve">Partager les évaluations sectorielles et mettre en évidence les conclusions pertinentes pour l’autre secteur (comme ci-dessus, </w:t>
            </w:r>
            <w:r w:rsidRPr="004C642E">
              <w:rPr>
                <w:b/>
                <w:sz w:val="20"/>
                <w:szCs w:val="20"/>
                <w:lang w:val="fr-FR"/>
              </w:rPr>
              <w:t>Myanmar)</w:t>
            </w:r>
            <w:r w:rsidRPr="004C642E">
              <w:rPr>
                <w:sz w:val="20"/>
                <w:szCs w:val="20"/>
                <w:lang w:val="fr-FR"/>
              </w:rPr>
              <w:t xml:space="preserve">   </w:t>
            </w:r>
          </w:p>
          <w:p w14:paraId="6B7DBE07" w14:textId="77777777" w:rsidR="004C642E" w:rsidRDefault="004C642E" w:rsidP="00350F5F">
            <w:pPr>
              <w:spacing w:before="40"/>
              <w:rPr>
                <w:sz w:val="20"/>
                <w:szCs w:val="20"/>
                <w:lang w:val="fr-FR"/>
              </w:rPr>
            </w:pPr>
          </w:p>
          <w:p w14:paraId="625B842E" w14:textId="185845F5" w:rsidR="004C642E" w:rsidRDefault="004C642E" w:rsidP="004C642E">
            <w:pPr>
              <w:spacing w:before="4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S</w:t>
            </w:r>
            <w:r w:rsidRPr="004C642E">
              <w:rPr>
                <w:sz w:val="20"/>
                <w:szCs w:val="20"/>
                <w:lang w:val="fr-FR"/>
              </w:rPr>
              <w:t>ource</w:t>
            </w:r>
            <w:r>
              <w:rPr>
                <w:sz w:val="20"/>
                <w:szCs w:val="20"/>
                <w:lang w:val="fr-FR"/>
              </w:rPr>
              <w:t>-ouverte</w:t>
            </w:r>
            <w:r w:rsidRPr="004C642E">
              <w:rPr>
                <w:sz w:val="20"/>
                <w:szCs w:val="20"/>
                <w:lang w:val="fr-FR"/>
              </w:rPr>
              <w:t xml:space="preserve"> (par exemple sur </w:t>
            </w:r>
            <w:proofErr w:type="spellStart"/>
            <w:r w:rsidRPr="004C642E">
              <w:rPr>
                <w:sz w:val="20"/>
                <w:szCs w:val="20"/>
                <w:lang w:val="fr-FR"/>
              </w:rPr>
              <w:t>Kobo</w:t>
            </w:r>
            <w:proofErr w:type="spellEnd"/>
            <w:r w:rsidRPr="004C642E">
              <w:rPr>
                <w:sz w:val="20"/>
                <w:szCs w:val="20"/>
                <w:lang w:val="fr-FR"/>
              </w:rPr>
              <w:t>), outils N.A. normalisés qui incluent des questions intersectorielles et peuvent être utili</w:t>
            </w:r>
            <w:r w:rsidR="00784FCB">
              <w:rPr>
                <w:sz w:val="20"/>
                <w:szCs w:val="20"/>
                <w:lang w:val="fr-FR"/>
              </w:rPr>
              <w:t>sés par les partenaires des</w:t>
            </w:r>
            <w:r w:rsidRPr="004C642E">
              <w:rPr>
                <w:sz w:val="20"/>
                <w:szCs w:val="20"/>
                <w:lang w:val="fr-FR"/>
              </w:rPr>
              <w:t xml:space="preserve"> deux secteurs </w:t>
            </w:r>
            <w:r w:rsidRPr="004C642E">
              <w:rPr>
                <w:b/>
                <w:sz w:val="20"/>
                <w:szCs w:val="20"/>
                <w:lang w:val="fr-FR"/>
              </w:rPr>
              <w:t>(Irak</w:t>
            </w:r>
            <w:r w:rsidRPr="004C642E">
              <w:rPr>
                <w:sz w:val="20"/>
                <w:szCs w:val="20"/>
                <w:lang w:val="fr-FR"/>
              </w:rPr>
              <w:t xml:space="preserve">)   </w:t>
            </w:r>
          </w:p>
          <w:p w14:paraId="27C7A644" w14:textId="77777777" w:rsidR="004C642E" w:rsidRDefault="004C642E" w:rsidP="004C642E">
            <w:pPr>
              <w:spacing w:before="40"/>
              <w:rPr>
                <w:sz w:val="20"/>
                <w:szCs w:val="20"/>
                <w:lang w:val="fr-FR"/>
              </w:rPr>
            </w:pPr>
          </w:p>
          <w:p w14:paraId="54693D0C" w14:textId="0167E6E8" w:rsidR="00D405B4" w:rsidRDefault="004C642E" w:rsidP="004C642E">
            <w:pPr>
              <w:spacing w:before="40"/>
              <w:rPr>
                <w:b/>
                <w:sz w:val="20"/>
                <w:szCs w:val="20"/>
                <w:lang w:val="fr-FR"/>
              </w:rPr>
            </w:pPr>
            <w:r w:rsidRPr="004C642E">
              <w:rPr>
                <w:sz w:val="20"/>
                <w:szCs w:val="20"/>
                <w:lang w:val="fr-FR"/>
              </w:rPr>
              <w:t>Dans le cadre des évalu</w:t>
            </w:r>
            <w:r w:rsidR="009441EA">
              <w:rPr>
                <w:sz w:val="20"/>
                <w:szCs w:val="20"/>
                <w:lang w:val="fr-FR"/>
              </w:rPr>
              <w:t>ations des besoins multi-clusters</w:t>
            </w:r>
            <w:r w:rsidRPr="004C642E">
              <w:rPr>
                <w:sz w:val="20"/>
                <w:szCs w:val="20"/>
                <w:lang w:val="fr-FR"/>
              </w:rPr>
              <w:t>, consulter l’autre secteur pour élaborer des indicateurs et des éléments communs afin de maximiser l’espace limité et de faciliter la collecte de données complémentaires (</w:t>
            </w:r>
            <w:r w:rsidRPr="004C642E">
              <w:rPr>
                <w:b/>
                <w:sz w:val="20"/>
                <w:szCs w:val="20"/>
                <w:lang w:val="fr-FR"/>
              </w:rPr>
              <w:t>Iraq</w:t>
            </w:r>
            <w:r w:rsidR="009441EA">
              <w:rPr>
                <w:b/>
                <w:sz w:val="20"/>
                <w:szCs w:val="20"/>
                <w:lang w:val="fr-FR"/>
              </w:rPr>
              <w:t>)</w:t>
            </w:r>
          </w:p>
          <w:p w14:paraId="13A50B99" w14:textId="77777777" w:rsidR="009441EA" w:rsidRDefault="009441EA" w:rsidP="004C642E">
            <w:pPr>
              <w:spacing w:before="40"/>
              <w:rPr>
                <w:b/>
                <w:sz w:val="20"/>
                <w:szCs w:val="20"/>
                <w:lang w:val="fr-FR"/>
              </w:rPr>
            </w:pPr>
          </w:p>
          <w:p w14:paraId="44ABCADB" w14:textId="3EC14266" w:rsidR="009441EA" w:rsidRPr="004C642E" w:rsidRDefault="009441EA" w:rsidP="004C642E">
            <w:pPr>
              <w:spacing w:before="40"/>
              <w:rPr>
                <w:sz w:val="20"/>
                <w:szCs w:val="20"/>
                <w:lang w:val="fr-FR"/>
              </w:rPr>
            </w:pPr>
            <w:r w:rsidRPr="009441EA">
              <w:rPr>
                <w:sz w:val="20"/>
                <w:szCs w:val="20"/>
                <w:lang w:val="fr-FR"/>
              </w:rPr>
              <w:t>REACH MCNA &amp;</w:t>
            </w:r>
            <w:r>
              <w:rPr>
                <w:sz w:val="20"/>
                <w:szCs w:val="20"/>
                <w:lang w:val="fr-FR"/>
              </w:rPr>
              <w:t xml:space="preserve"> l’</w:t>
            </w:r>
            <w:r w:rsidRPr="009441EA">
              <w:rPr>
                <w:sz w:val="20"/>
                <w:szCs w:val="20"/>
                <w:lang w:val="fr-FR"/>
              </w:rPr>
              <w:t>évaluation dans les zones difficiles d’accès (2019) - OCHA a facilité l’alignement des questions (</w:t>
            </w:r>
            <w:r w:rsidRPr="009441EA">
              <w:rPr>
                <w:b/>
                <w:sz w:val="20"/>
                <w:szCs w:val="20"/>
                <w:lang w:val="fr-FR"/>
              </w:rPr>
              <w:t>Afghanistan)</w:t>
            </w:r>
          </w:p>
          <w:p w14:paraId="5437BFDC" w14:textId="79C848FD" w:rsidR="009441EA" w:rsidRPr="009441EA" w:rsidRDefault="009441EA" w:rsidP="009441EA">
            <w:pPr>
              <w:spacing w:before="40"/>
              <w:ind w:left="28"/>
              <w:rPr>
                <w:sz w:val="20"/>
                <w:szCs w:val="20"/>
                <w:lang w:val="fr-FR"/>
              </w:rPr>
            </w:pPr>
            <w:r w:rsidRPr="009441EA">
              <w:rPr>
                <w:sz w:val="20"/>
                <w:szCs w:val="20"/>
                <w:lang w:val="fr-FR"/>
              </w:rPr>
              <w:t xml:space="preserve">    </w:t>
            </w:r>
          </w:p>
          <w:p w14:paraId="4AACE0B1" w14:textId="77777777" w:rsidR="00D405B4" w:rsidRPr="009441EA" w:rsidRDefault="00D405B4" w:rsidP="001C17D1">
            <w:pPr>
              <w:spacing w:before="40"/>
              <w:ind w:left="28"/>
              <w:rPr>
                <w:sz w:val="20"/>
                <w:szCs w:val="20"/>
                <w:lang w:val="fr-FR"/>
              </w:rPr>
            </w:pPr>
          </w:p>
          <w:p w14:paraId="00306DAF" w14:textId="0D4F0642" w:rsidR="00150202" w:rsidRPr="009441EA" w:rsidRDefault="009441EA" w:rsidP="00BD79A4">
            <w:pPr>
              <w:spacing w:after="120"/>
              <w:rPr>
                <w:sz w:val="20"/>
                <w:szCs w:val="20"/>
                <w:lang w:val="fr-FR"/>
              </w:rPr>
            </w:pPr>
            <w:r w:rsidRPr="009441EA">
              <w:rPr>
                <w:sz w:val="20"/>
                <w:szCs w:val="20"/>
                <w:u w:val="single"/>
                <w:lang w:val="fr-FR"/>
              </w:rPr>
              <w:t xml:space="preserve">Participation des enfants aux évaluations </w:t>
            </w:r>
            <w:r w:rsidRPr="009441EA">
              <w:rPr>
                <w:b/>
                <w:sz w:val="20"/>
                <w:szCs w:val="20"/>
                <w:u w:val="single"/>
                <w:lang w:val="fr-FR"/>
              </w:rPr>
              <w:t>(</w:t>
            </w:r>
            <w:proofErr w:type="gramStart"/>
            <w:r w:rsidRPr="009441EA">
              <w:rPr>
                <w:b/>
                <w:sz w:val="20"/>
                <w:szCs w:val="20"/>
                <w:u w:val="single"/>
                <w:lang w:val="fr-FR"/>
              </w:rPr>
              <w:t>Somalie)</w:t>
            </w:r>
            <w:r w:rsidRPr="009441EA">
              <w:rPr>
                <w:sz w:val="20"/>
                <w:szCs w:val="20"/>
                <w:u w:val="single"/>
                <w:lang w:val="fr-FR"/>
              </w:rPr>
              <w:t xml:space="preserve">   </w:t>
            </w:r>
            <w:proofErr w:type="gramEnd"/>
          </w:p>
        </w:tc>
      </w:tr>
      <w:tr w:rsidR="00666303" w:rsidRPr="00053970" w14:paraId="5926A044" w14:textId="77777777" w:rsidTr="00027A53">
        <w:tc>
          <w:tcPr>
            <w:tcW w:w="5000" w:type="pct"/>
            <w:gridSpan w:val="4"/>
            <w:shd w:val="clear" w:color="auto" w:fill="86789C"/>
          </w:tcPr>
          <w:p w14:paraId="508D55EF" w14:textId="1AC43FF7" w:rsidR="00666303" w:rsidRPr="00053970" w:rsidRDefault="00E11243" w:rsidP="00666303">
            <w:pPr>
              <w:spacing w:before="40"/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E11243">
              <w:rPr>
                <w:b/>
                <w:bCs/>
                <w:color w:val="FFFFFF" w:themeColor="background1"/>
                <w:sz w:val="20"/>
                <w:szCs w:val="20"/>
                <w:lang w:val="en-GB"/>
              </w:rPr>
              <w:lastRenderedPageBreak/>
              <w:t>RESSOURCES AU NIVEAU MONDIAL</w:t>
            </w:r>
            <w:r>
              <w:rPr>
                <w:b/>
                <w:bCs/>
                <w:color w:val="FFFFFF" w:themeColor="background1"/>
                <w:sz w:val="20"/>
                <w:szCs w:val="20"/>
                <w:lang w:val="en-GB"/>
              </w:rPr>
              <w:t xml:space="preserve"> </w:t>
            </w:r>
          </w:p>
        </w:tc>
      </w:tr>
      <w:tr w:rsidR="000F7693" w:rsidRPr="00FA1E34" w14:paraId="3966569E" w14:textId="77777777" w:rsidTr="00027A53">
        <w:tc>
          <w:tcPr>
            <w:tcW w:w="777" w:type="pct"/>
          </w:tcPr>
          <w:p w14:paraId="5523219D" w14:textId="39A6B4F7" w:rsidR="00E223F9" w:rsidRPr="008A39B4" w:rsidRDefault="00E223F9" w:rsidP="008A39B4">
            <w:pPr>
              <w:pStyle w:val="ListParagraph"/>
              <w:numPr>
                <w:ilvl w:val="0"/>
                <w:numId w:val="8"/>
              </w:numPr>
              <w:spacing w:before="40"/>
              <w:rPr>
                <w:b/>
                <w:bCs/>
                <w:sz w:val="20"/>
                <w:szCs w:val="20"/>
                <w:lang w:val="fr-FR"/>
              </w:rPr>
            </w:pPr>
            <w:r w:rsidRPr="00E223F9">
              <w:rPr>
                <w:sz w:val="20"/>
                <w:szCs w:val="20"/>
                <w:lang w:val="fr-FR"/>
              </w:rPr>
              <w:t xml:space="preserve">Exemple Décisions clés </w:t>
            </w:r>
            <w:r w:rsidRPr="00E223F9">
              <w:rPr>
                <w:sz w:val="20"/>
                <w:szCs w:val="20"/>
                <w:lang w:val="fr-FR"/>
              </w:rPr>
              <w:lastRenderedPageBreak/>
              <w:t>pour lesquelles des données sectorielles sont nécessaires (</w:t>
            </w:r>
            <w:hyperlink r:id="rId14" w:history="1">
              <w:r w:rsidRPr="00E223F9">
                <w:rPr>
                  <w:rStyle w:val="Hyperlink"/>
                  <w:sz w:val="20"/>
                  <w:szCs w:val="20"/>
                  <w:lang w:val="fr-FR"/>
                </w:rPr>
                <w:t>Annex</w:t>
              </w:r>
              <w:r w:rsidR="00AE3872">
                <w:rPr>
                  <w:rStyle w:val="Hyperlink"/>
                  <w:sz w:val="20"/>
                  <w:szCs w:val="20"/>
                  <w:lang w:val="fr-FR"/>
                </w:rPr>
                <w:t>e</w:t>
              </w:r>
              <w:r w:rsidRPr="00E223F9">
                <w:rPr>
                  <w:rStyle w:val="Hyperlink"/>
                  <w:sz w:val="20"/>
                  <w:szCs w:val="20"/>
                  <w:lang w:val="fr-FR"/>
                </w:rPr>
                <w:t xml:space="preserve"> 1</w:t>
              </w:r>
            </w:hyperlink>
            <w:r w:rsidRPr="00E223F9">
              <w:rPr>
                <w:sz w:val="20"/>
                <w:szCs w:val="20"/>
                <w:lang w:val="fr-FR"/>
              </w:rPr>
              <w:t xml:space="preserve">) </w:t>
            </w:r>
          </w:p>
        </w:tc>
        <w:tc>
          <w:tcPr>
            <w:tcW w:w="825" w:type="pct"/>
          </w:tcPr>
          <w:p w14:paraId="2053C0C6" w14:textId="33478FD9" w:rsidR="00323FF9" w:rsidRPr="00E223F9" w:rsidRDefault="00E223F9" w:rsidP="00E223F9">
            <w:pPr>
              <w:pStyle w:val="ListParagraph"/>
              <w:numPr>
                <w:ilvl w:val="0"/>
                <w:numId w:val="8"/>
              </w:numPr>
              <w:spacing w:before="40"/>
              <w:rPr>
                <w:sz w:val="20"/>
                <w:szCs w:val="20"/>
                <w:lang w:val="fr-FR"/>
              </w:rPr>
            </w:pPr>
            <w:r w:rsidRPr="00E223F9">
              <w:rPr>
                <w:sz w:val="20"/>
                <w:szCs w:val="20"/>
                <w:lang w:val="fr-FR"/>
              </w:rPr>
              <w:lastRenderedPageBreak/>
              <w:t xml:space="preserve">Exemple de besoins clés en </w:t>
            </w:r>
            <w:r w:rsidRPr="00E223F9">
              <w:rPr>
                <w:sz w:val="20"/>
                <w:szCs w:val="20"/>
                <w:lang w:val="fr-FR"/>
              </w:rPr>
              <w:lastRenderedPageBreak/>
              <w:t xml:space="preserve">matière de données </w:t>
            </w:r>
            <w:proofErr w:type="gramStart"/>
            <w:r w:rsidRPr="00E223F9">
              <w:rPr>
                <w:sz w:val="20"/>
                <w:szCs w:val="20"/>
                <w:lang w:val="fr-FR"/>
              </w:rPr>
              <w:t>sectorielles</w:t>
            </w:r>
            <w:r w:rsidR="000151B9">
              <w:rPr>
                <w:sz w:val="20"/>
                <w:szCs w:val="20"/>
                <w:lang w:val="fr-FR"/>
              </w:rPr>
              <w:t xml:space="preserve"> </w:t>
            </w:r>
            <w:r w:rsidR="00323FF9" w:rsidRPr="00E223F9">
              <w:rPr>
                <w:sz w:val="20"/>
                <w:szCs w:val="20"/>
                <w:lang w:val="fr-FR"/>
              </w:rPr>
              <w:t xml:space="preserve"> (</w:t>
            </w:r>
            <w:proofErr w:type="gramEnd"/>
            <w:hyperlink r:id="rId15" w:history="1">
              <w:r w:rsidR="00323FF9" w:rsidRPr="00E223F9">
                <w:rPr>
                  <w:rStyle w:val="Hyperlink"/>
                  <w:sz w:val="20"/>
                  <w:szCs w:val="20"/>
                  <w:lang w:val="fr-FR"/>
                </w:rPr>
                <w:t>Annex 2</w:t>
              </w:r>
            </w:hyperlink>
            <w:r w:rsidR="00323FF9" w:rsidRPr="00E223F9">
              <w:rPr>
                <w:sz w:val="20"/>
                <w:szCs w:val="20"/>
                <w:lang w:val="fr-FR"/>
              </w:rPr>
              <w:t>)</w:t>
            </w:r>
          </w:p>
          <w:p w14:paraId="3AC4C05D" w14:textId="23419A78" w:rsidR="000151B9" w:rsidRDefault="00BA0D20" w:rsidP="000151B9">
            <w:pPr>
              <w:pStyle w:val="ListParagraph"/>
              <w:numPr>
                <w:ilvl w:val="0"/>
                <w:numId w:val="8"/>
              </w:numPr>
              <w:spacing w:before="4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Checklist </w:t>
            </w:r>
            <w:r w:rsidR="000151B9" w:rsidRPr="000151B9">
              <w:rPr>
                <w:sz w:val="20"/>
                <w:szCs w:val="20"/>
                <w:lang w:val="fr-FR"/>
              </w:rPr>
              <w:t xml:space="preserve">pour permettre un partage prévisible de l’information </w:t>
            </w:r>
          </w:p>
          <w:p w14:paraId="3860D917" w14:textId="29147ADD" w:rsidR="000F7693" w:rsidRPr="000151B9" w:rsidRDefault="000F7693" w:rsidP="000151B9">
            <w:pPr>
              <w:pStyle w:val="ListParagraph"/>
              <w:spacing w:before="40"/>
              <w:rPr>
                <w:sz w:val="20"/>
                <w:szCs w:val="20"/>
                <w:lang w:val="fr-FR"/>
              </w:rPr>
            </w:pPr>
            <w:r w:rsidRPr="000151B9">
              <w:rPr>
                <w:sz w:val="20"/>
                <w:szCs w:val="20"/>
                <w:lang w:val="fr-FR"/>
              </w:rPr>
              <w:t>(</w:t>
            </w:r>
            <w:hyperlink r:id="rId16" w:history="1">
              <w:r w:rsidRPr="000151B9">
                <w:rPr>
                  <w:rStyle w:val="Hyperlink"/>
                  <w:sz w:val="20"/>
                  <w:szCs w:val="20"/>
                  <w:lang w:val="fr-FR"/>
                </w:rPr>
                <w:t xml:space="preserve">Annex </w:t>
              </w:r>
              <w:r w:rsidR="002D5171" w:rsidRPr="000151B9">
                <w:rPr>
                  <w:rStyle w:val="Hyperlink"/>
                  <w:sz w:val="20"/>
                  <w:szCs w:val="20"/>
                  <w:lang w:val="fr-FR"/>
                </w:rPr>
                <w:t>3</w:t>
              </w:r>
            </w:hyperlink>
            <w:r w:rsidRPr="000151B9">
              <w:rPr>
                <w:sz w:val="20"/>
                <w:szCs w:val="20"/>
                <w:lang w:val="fr-FR"/>
              </w:rPr>
              <w:t>)</w:t>
            </w:r>
          </w:p>
          <w:p w14:paraId="55DEA3B1" w14:textId="77777777" w:rsidR="00053970" w:rsidRDefault="000151B9" w:rsidP="000151B9">
            <w:pPr>
              <w:pStyle w:val="ListParagraph"/>
              <w:numPr>
                <w:ilvl w:val="0"/>
                <w:numId w:val="8"/>
              </w:numPr>
              <w:spacing w:before="40"/>
              <w:rPr>
                <w:sz w:val="20"/>
                <w:szCs w:val="20"/>
                <w:lang w:val="fr-FR"/>
              </w:rPr>
            </w:pPr>
            <w:r w:rsidRPr="000151B9">
              <w:rPr>
                <w:sz w:val="20"/>
                <w:szCs w:val="20"/>
                <w:lang w:val="fr-FR"/>
              </w:rPr>
              <w:t>Exemple de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0151B9">
              <w:rPr>
                <w:sz w:val="20"/>
                <w:szCs w:val="20"/>
                <w:lang w:val="fr-FR"/>
              </w:rPr>
              <w:t xml:space="preserve"> </w:t>
            </w:r>
            <w:hyperlink r:id="rId17" w:history="1">
              <w:r w:rsidRPr="000151B9">
                <w:rPr>
                  <w:rStyle w:val="Hyperlink"/>
                  <w:sz w:val="20"/>
                  <w:szCs w:val="20"/>
                  <w:lang w:val="fr-FR"/>
                </w:rPr>
                <w:t xml:space="preserve"> Protocol</w:t>
              </w:r>
            </w:hyperlink>
            <w:r w:rsidRPr="000151B9">
              <w:rPr>
                <w:rStyle w:val="Hyperlink"/>
                <w:sz w:val="20"/>
                <w:szCs w:val="20"/>
                <w:lang w:val="fr-FR"/>
              </w:rPr>
              <w:t xml:space="preserve">e de </w:t>
            </w:r>
            <w:r>
              <w:rPr>
                <w:rStyle w:val="Hyperlink"/>
                <w:sz w:val="20"/>
                <w:szCs w:val="20"/>
                <w:lang w:val="fr-FR"/>
              </w:rPr>
              <w:t>Partage d’Information</w:t>
            </w:r>
            <w:r w:rsidRPr="000151B9">
              <w:rPr>
                <w:sz w:val="20"/>
                <w:szCs w:val="20"/>
                <w:lang w:val="fr-FR"/>
              </w:rPr>
              <w:t xml:space="preserve"> prot</w:t>
            </w:r>
            <w:r>
              <w:rPr>
                <w:sz w:val="20"/>
                <w:szCs w:val="20"/>
                <w:lang w:val="fr-FR"/>
              </w:rPr>
              <w:t>ocole de (</w:t>
            </w:r>
            <w:r w:rsidRPr="000151B9">
              <w:rPr>
                <w:sz w:val="20"/>
                <w:szCs w:val="20"/>
                <w:lang w:val="fr-FR"/>
              </w:rPr>
              <w:t>P</w:t>
            </w:r>
            <w:r>
              <w:rPr>
                <w:sz w:val="20"/>
                <w:szCs w:val="20"/>
                <w:lang w:val="fr-FR"/>
              </w:rPr>
              <w:t>PI</w:t>
            </w:r>
            <w:r w:rsidRPr="000151B9">
              <w:rPr>
                <w:sz w:val="20"/>
                <w:szCs w:val="20"/>
                <w:lang w:val="fr-FR"/>
              </w:rPr>
              <w:t xml:space="preserve">) avec une section sur « le partage de données à des fins de coordination et de suivi de la situation », p. 10, qui peut être adaptée au partage intersectoriel   </w:t>
            </w:r>
          </w:p>
          <w:p w14:paraId="3FCD5422" w14:textId="677A320A" w:rsidR="000151B9" w:rsidRPr="000151B9" w:rsidRDefault="000151B9" w:rsidP="000151B9">
            <w:pPr>
              <w:pStyle w:val="ListParagraph"/>
              <w:spacing w:before="40"/>
              <w:rPr>
                <w:sz w:val="20"/>
                <w:szCs w:val="20"/>
                <w:lang w:val="fr-FR"/>
              </w:rPr>
            </w:pPr>
          </w:p>
        </w:tc>
        <w:tc>
          <w:tcPr>
            <w:tcW w:w="874" w:type="pct"/>
          </w:tcPr>
          <w:p w14:paraId="64CA7A5D" w14:textId="29FA7D54" w:rsidR="00BB2951" w:rsidRDefault="00E11243" w:rsidP="0037509F">
            <w:pPr>
              <w:pStyle w:val="ListParagraph"/>
              <w:numPr>
                <w:ilvl w:val="0"/>
                <w:numId w:val="8"/>
              </w:numPr>
              <w:spacing w:before="40"/>
              <w:ind w:left="312" w:hanging="284"/>
              <w:rPr>
                <w:sz w:val="20"/>
                <w:szCs w:val="20"/>
                <w:lang w:val="fr-FR"/>
              </w:rPr>
            </w:pPr>
            <w:r w:rsidRPr="00E11243">
              <w:rPr>
                <w:color w:val="ED7D31" w:themeColor="accent2"/>
                <w:sz w:val="20"/>
                <w:szCs w:val="20"/>
                <w:lang w:val="fr-FR"/>
              </w:rPr>
              <w:lastRenderedPageBreak/>
              <w:t>Draft</w:t>
            </w:r>
            <w:r w:rsidRPr="00E11243">
              <w:rPr>
                <w:lang w:val="fr-FR"/>
              </w:rPr>
              <w:t xml:space="preserve"> </w:t>
            </w:r>
            <w:r w:rsidRPr="00E11243">
              <w:rPr>
                <w:color w:val="4472C4" w:themeColor="accent1"/>
                <w:sz w:val="20"/>
                <w:szCs w:val="20"/>
                <w:lang w:val="fr-FR"/>
              </w:rPr>
              <w:t xml:space="preserve">du cadre d’analyse </w:t>
            </w:r>
            <w:r w:rsidR="00AF787A">
              <w:rPr>
                <w:color w:val="4472C4" w:themeColor="accent1"/>
                <w:sz w:val="20"/>
                <w:szCs w:val="20"/>
                <w:lang w:val="fr-FR"/>
              </w:rPr>
              <w:t>de l’</w:t>
            </w:r>
            <w:r w:rsidRPr="00E11243">
              <w:rPr>
                <w:color w:val="4472C4" w:themeColor="accent1"/>
                <w:sz w:val="20"/>
                <w:szCs w:val="20"/>
                <w:lang w:val="fr-FR"/>
              </w:rPr>
              <w:t>EiE</w:t>
            </w:r>
            <w:r w:rsidR="000F7693" w:rsidRPr="00E11243">
              <w:rPr>
                <w:color w:val="4472C4" w:themeColor="accent1"/>
                <w:sz w:val="20"/>
                <w:szCs w:val="20"/>
                <w:lang w:val="fr-FR"/>
              </w:rPr>
              <w:t xml:space="preserve"> (</w:t>
            </w:r>
            <w:r w:rsidR="000F7693" w:rsidRPr="00E11243">
              <w:rPr>
                <w:b/>
                <w:sz w:val="20"/>
                <w:szCs w:val="20"/>
                <w:lang w:val="fr-FR"/>
              </w:rPr>
              <w:t>GEC</w:t>
            </w:r>
            <w:r w:rsidR="000F7693" w:rsidRPr="00E11243">
              <w:rPr>
                <w:sz w:val="20"/>
                <w:szCs w:val="20"/>
                <w:lang w:val="fr-FR"/>
              </w:rPr>
              <w:t>)</w:t>
            </w:r>
          </w:p>
          <w:p w14:paraId="6EA9E654" w14:textId="52F4A513" w:rsidR="000F7693" w:rsidRDefault="00C05DFF" w:rsidP="00C05DFF">
            <w:pPr>
              <w:pStyle w:val="ListParagraph"/>
              <w:numPr>
                <w:ilvl w:val="0"/>
                <w:numId w:val="8"/>
              </w:numPr>
              <w:spacing w:before="40"/>
              <w:ind w:left="312" w:hanging="284"/>
              <w:rPr>
                <w:sz w:val="20"/>
                <w:szCs w:val="20"/>
                <w:lang w:val="fr-FR"/>
              </w:rPr>
            </w:pPr>
            <w:r w:rsidRPr="00C05DFF">
              <w:rPr>
                <w:color w:val="4472C4" w:themeColor="accent1"/>
                <w:sz w:val="20"/>
                <w:szCs w:val="20"/>
                <w:lang w:val="fr-FR"/>
              </w:rPr>
              <w:lastRenderedPageBreak/>
              <w:t>Cadre d’Identification et d’Analyse des Besoins du C</w:t>
            </w:r>
            <w:r w:rsidR="00DD19E5">
              <w:rPr>
                <w:color w:val="4472C4" w:themeColor="accent1"/>
                <w:sz w:val="20"/>
                <w:szCs w:val="20"/>
                <w:lang w:val="fr-FR"/>
              </w:rPr>
              <w:t>luster Protection</w:t>
            </w:r>
            <w:r w:rsidRPr="00C05DFF">
              <w:rPr>
                <w:color w:val="4472C4" w:themeColor="accent1"/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>(NIAF</w:t>
            </w:r>
            <w:r w:rsidR="00323FF9" w:rsidRPr="00C05DFF">
              <w:rPr>
                <w:sz w:val="20"/>
                <w:szCs w:val="20"/>
                <w:lang w:val="fr-FR"/>
              </w:rPr>
              <w:t>),</w:t>
            </w:r>
            <w:r w:rsidR="007C49AE">
              <w:rPr>
                <w:sz w:val="20"/>
                <w:szCs w:val="20"/>
                <w:lang w:val="fr-FR"/>
              </w:rPr>
              <w:t xml:space="preserve"> </w:t>
            </w:r>
            <w:r w:rsidR="00E11243" w:rsidRPr="00C05DFF">
              <w:rPr>
                <w:sz w:val="20"/>
                <w:szCs w:val="20"/>
                <w:lang w:val="fr-FR"/>
              </w:rPr>
              <w:t>l’approche pour identifier et analyser les besoins des enfants dans les</w:t>
            </w:r>
            <w:r>
              <w:rPr>
                <w:sz w:val="20"/>
                <w:szCs w:val="20"/>
                <w:lang w:val="fr-FR"/>
              </w:rPr>
              <w:t xml:space="preserve"> contextes humanitaires </w:t>
            </w:r>
            <w:r w:rsidR="000F7693" w:rsidRPr="00C05DFF">
              <w:rPr>
                <w:sz w:val="20"/>
                <w:szCs w:val="20"/>
                <w:lang w:val="fr-FR"/>
              </w:rPr>
              <w:t>(</w:t>
            </w:r>
            <w:r w:rsidR="000F7693" w:rsidRPr="00C05DFF">
              <w:rPr>
                <w:b/>
                <w:sz w:val="20"/>
                <w:szCs w:val="20"/>
                <w:lang w:val="fr-FR"/>
              </w:rPr>
              <w:t>CP AoR</w:t>
            </w:r>
            <w:r w:rsidR="000F7693" w:rsidRPr="00C05DFF">
              <w:rPr>
                <w:sz w:val="20"/>
                <w:szCs w:val="20"/>
                <w:lang w:val="fr-FR"/>
              </w:rPr>
              <w:t>)</w:t>
            </w:r>
          </w:p>
          <w:p w14:paraId="0E4F9633" w14:textId="34012CC9" w:rsidR="000F7693" w:rsidRDefault="00C05DFF" w:rsidP="00C05DFF">
            <w:pPr>
              <w:pStyle w:val="ListParagraph"/>
              <w:numPr>
                <w:ilvl w:val="0"/>
                <w:numId w:val="8"/>
              </w:numPr>
              <w:spacing w:before="40"/>
              <w:ind w:left="312" w:hanging="284"/>
              <w:rPr>
                <w:sz w:val="20"/>
                <w:szCs w:val="20"/>
                <w:lang w:val="fr-FR"/>
              </w:rPr>
            </w:pPr>
            <w:r w:rsidRPr="00C05DFF">
              <w:rPr>
                <w:color w:val="4472C4" w:themeColor="accent1"/>
                <w:sz w:val="20"/>
                <w:szCs w:val="20"/>
                <w:lang w:val="fr-FR"/>
              </w:rPr>
              <w:t xml:space="preserve">Modèle et orientation des SDR </w:t>
            </w:r>
            <w:r w:rsidR="000F7693" w:rsidRPr="00C05DFF">
              <w:rPr>
                <w:sz w:val="20"/>
                <w:szCs w:val="20"/>
                <w:lang w:val="fr-FR"/>
              </w:rPr>
              <w:t>(</w:t>
            </w:r>
            <w:r w:rsidR="000F7693" w:rsidRPr="00C05DFF">
              <w:rPr>
                <w:b/>
                <w:sz w:val="20"/>
                <w:szCs w:val="20"/>
                <w:lang w:val="fr-FR"/>
              </w:rPr>
              <w:t>GEC</w:t>
            </w:r>
            <w:r w:rsidR="000F7693" w:rsidRPr="00C05DFF">
              <w:rPr>
                <w:sz w:val="20"/>
                <w:szCs w:val="20"/>
                <w:lang w:val="fr-FR"/>
              </w:rPr>
              <w:t>)</w:t>
            </w:r>
          </w:p>
          <w:p w14:paraId="3894EAED" w14:textId="64FCC27D" w:rsidR="000536DD" w:rsidRPr="00C05DFF" w:rsidRDefault="00C05DFF" w:rsidP="00C05DFF">
            <w:pPr>
              <w:pStyle w:val="ListParagraph"/>
              <w:numPr>
                <w:ilvl w:val="0"/>
                <w:numId w:val="8"/>
              </w:numPr>
              <w:spacing w:before="40"/>
              <w:ind w:left="312" w:hanging="284"/>
              <w:rPr>
                <w:sz w:val="20"/>
                <w:szCs w:val="20"/>
                <w:lang w:val="fr-FR"/>
              </w:rPr>
            </w:pPr>
            <w:r w:rsidRPr="00C05DFF">
              <w:rPr>
                <w:color w:val="4472C4" w:themeColor="accent1"/>
                <w:sz w:val="20"/>
                <w:szCs w:val="20"/>
                <w:lang w:val="fr-FR"/>
              </w:rPr>
              <w:t xml:space="preserve">Guide de calcul du PiN 2021 </w:t>
            </w:r>
            <w:r w:rsidR="000536DD" w:rsidRPr="00C05DFF">
              <w:rPr>
                <w:sz w:val="20"/>
                <w:szCs w:val="20"/>
                <w:lang w:val="fr-FR"/>
              </w:rPr>
              <w:t>(</w:t>
            </w:r>
            <w:r w:rsidR="000536DD" w:rsidRPr="00C05DFF">
              <w:rPr>
                <w:b/>
                <w:bCs/>
                <w:sz w:val="20"/>
                <w:szCs w:val="20"/>
                <w:lang w:val="fr-FR"/>
              </w:rPr>
              <w:t>GEC)</w:t>
            </w:r>
          </w:p>
          <w:p w14:paraId="44B80DAA" w14:textId="77777777" w:rsidR="000F7693" w:rsidRDefault="00C05DFF" w:rsidP="00C05DFF">
            <w:pPr>
              <w:pStyle w:val="ListParagraph"/>
              <w:numPr>
                <w:ilvl w:val="0"/>
                <w:numId w:val="8"/>
              </w:numPr>
              <w:spacing w:before="40"/>
              <w:ind w:left="312" w:hanging="284"/>
              <w:rPr>
                <w:sz w:val="20"/>
                <w:szCs w:val="20"/>
                <w:lang w:val="fr-FR"/>
              </w:rPr>
            </w:pPr>
            <w:r w:rsidRPr="00C05DFF">
              <w:rPr>
                <w:sz w:val="20"/>
                <w:szCs w:val="20"/>
                <w:lang w:val="fr-FR"/>
              </w:rPr>
              <w:t>Guide de calcul du PiN 2021 (</w:t>
            </w:r>
            <w:r w:rsidRPr="00C05DFF">
              <w:rPr>
                <w:color w:val="FFC000" w:themeColor="accent4"/>
                <w:sz w:val="20"/>
                <w:szCs w:val="20"/>
                <w:lang w:val="fr-FR"/>
              </w:rPr>
              <w:t>GPC/CP AOR en cours d’élaboration</w:t>
            </w:r>
            <w:r w:rsidRPr="00C05DFF">
              <w:rPr>
                <w:sz w:val="20"/>
                <w:szCs w:val="20"/>
                <w:lang w:val="fr-FR"/>
              </w:rPr>
              <w:t xml:space="preserve">)     </w:t>
            </w:r>
          </w:p>
          <w:p w14:paraId="43217CDC" w14:textId="085BCC44" w:rsidR="00C05DFF" w:rsidRPr="00C05DFF" w:rsidRDefault="00C05DFF" w:rsidP="00C05DFF">
            <w:pPr>
              <w:spacing w:before="40"/>
              <w:ind w:left="28"/>
              <w:rPr>
                <w:sz w:val="20"/>
                <w:szCs w:val="20"/>
                <w:lang w:val="fr-FR"/>
              </w:rPr>
            </w:pPr>
          </w:p>
        </w:tc>
        <w:tc>
          <w:tcPr>
            <w:tcW w:w="2524" w:type="pct"/>
          </w:tcPr>
          <w:p w14:paraId="65EB5C19" w14:textId="77777777" w:rsidR="009441EA" w:rsidRPr="00E42F09" w:rsidRDefault="009441EA" w:rsidP="009441EA">
            <w:pPr>
              <w:spacing w:before="40"/>
              <w:rPr>
                <w:sz w:val="20"/>
                <w:szCs w:val="20"/>
                <w:lang w:val="fr-FR"/>
              </w:rPr>
            </w:pPr>
          </w:p>
          <w:p w14:paraId="29C42349" w14:textId="5BA1BDE2" w:rsidR="000F7693" w:rsidRPr="009441EA" w:rsidRDefault="00C32093" w:rsidP="009441EA">
            <w:pPr>
              <w:pStyle w:val="ListParagraph"/>
              <w:numPr>
                <w:ilvl w:val="0"/>
                <w:numId w:val="11"/>
              </w:numPr>
              <w:spacing w:before="4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lastRenderedPageBreak/>
              <w:t>Checklist</w:t>
            </w:r>
            <w:r w:rsidR="009441EA" w:rsidRPr="009441EA">
              <w:rPr>
                <w:sz w:val="20"/>
                <w:szCs w:val="20"/>
                <w:lang w:val="fr-FR"/>
              </w:rPr>
              <w:t xml:space="preserve"> des étapes de la collaboration intersectorielle lors de l’évaluation multisectorielle </w:t>
            </w:r>
            <w:r w:rsidR="000F7693" w:rsidRPr="009441EA">
              <w:rPr>
                <w:sz w:val="20"/>
                <w:szCs w:val="20"/>
                <w:lang w:val="fr-FR"/>
              </w:rPr>
              <w:t>(</w:t>
            </w:r>
            <w:hyperlink r:id="rId18" w:history="1">
              <w:r w:rsidR="000F7693" w:rsidRPr="009441EA">
                <w:rPr>
                  <w:rStyle w:val="Hyperlink"/>
                  <w:sz w:val="20"/>
                  <w:szCs w:val="20"/>
                  <w:lang w:val="fr-FR"/>
                </w:rPr>
                <w:t>Annex</w:t>
              </w:r>
              <w:r w:rsidR="00AE3872">
                <w:rPr>
                  <w:rStyle w:val="Hyperlink"/>
                  <w:sz w:val="20"/>
                  <w:szCs w:val="20"/>
                  <w:lang w:val="fr-FR"/>
                </w:rPr>
                <w:t>e</w:t>
              </w:r>
              <w:r w:rsidR="000F7693" w:rsidRPr="009441EA">
                <w:rPr>
                  <w:rStyle w:val="Hyperlink"/>
                  <w:sz w:val="20"/>
                  <w:szCs w:val="20"/>
                  <w:lang w:val="fr-FR"/>
                </w:rPr>
                <w:t xml:space="preserve"> </w:t>
              </w:r>
              <w:r w:rsidR="002D5171" w:rsidRPr="009441EA">
                <w:rPr>
                  <w:rStyle w:val="Hyperlink"/>
                  <w:sz w:val="20"/>
                  <w:szCs w:val="20"/>
                  <w:lang w:val="fr-FR"/>
                </w:rPr>
                <w:t>5</w:t>
              </w:r>
            </w:hyperlink>
            <w:r w:rsidR="000F7693" w:rsidRPr="009441EA">
              <w:rPr>
                <w:sz w:val="20"/>
                <w:szCs w:val="20"/>
                <w:lang w:val="fr-FR"/>
              </w:rPr>
              <w:t>)</w:t>
            </w:r>
          </w:p>
          <w:p w14:paraId="41DCB20F" w14:textId="37BE12D6" w:rsidR="003C65AB" w:rsidRPr="009441EA" w:rsidRDefault="009441EA" w:rsidP="009441EA">
            <w:pPr>
              <w:pStyle w:val="ListParagraph"/>
              <w:numPr>
                <w:ilvl w:val="0"/>
                <w:numId w:val="11"/>
              </w:numPr>
              <w:spacing w:before="40"/>
              <w:rPr>
                <w:sz w:val="20"/>
                <w:szCs w:val="20"/>
                <w:lang w:val="fr-FR"/>
              </w:rPr>
            </w:pPr>
            <w:r>
              <w:rPr>
                <w:color w:val="4472C4" w:themeColor="accent1"/>
              </w:rPr>
              <w:t>Package d’Evaluations des B</w:t>
            </w:r>
            <w:r w:rsidRPr="009441EA">
              <w:rPr>
                <w:color w:val="4472C4" w:themeColor="accent1"/>
              </w:rPr>
              <w:t xml:space="preserve">esoins </w:t>
            </w:r>
            <w:r w:rsidRPr="009441EA">
              <w:rPr>
                <w:b/>
              </w:rPr>
              <w:t>(GEC</w:t>
            </w:r>
            <w:r w:rsidRPr="009441EA">
              <w:t>)</w:t>
            </w:r>
            <w:r>
              <w:t xml:space="preserve"> </w:t>
            </w:r>
          </w:p>
          <w:p w14:paraId="047D5019" w14:textId="695273BE" w:rsidR="003C65AB" w:rsidRPr="009441EA" w:rsidRDefault="004A757C" w:rsidP="009441EA">
            <w:pPr>
              <w:pStyle w:val="ListParagraph"/>
              <w:numPr>
                <w:ilvl w:val="0"/>
                <w:numId w:val="8"/>
              </w:numPr>
              <w:spacing w:before="40"/>
              <w:rPr>
                <w:sz w:val="20"/>
                <w:szCs w:val="20"/>
                <w:lang w:val="fr-FR"/>
              </w:rPr>
            </w:pPr>
            <w:r>
              <w:rPr>
                <w:rFonts w:eastAsia="Times New Roman"/>
                <w:sz w:val="20"/>
                <w:szCs w:val="20"/>
                <w:lang w:val="fr-FR"/>
              </w:rPr>
              <w:t xml:space="preserve">Pour les considérations liées au </w:t>
            </w:r>
            <w:r w:rsidR="009441EA" w:rsidRPr="009441EA">
              <w:rPr>
                <w:rFonts w:eastAsia="Times New Roman"/>
                <w:sz w:val="20"/>
                <w:szCs w:val="20"/>
                <w:lang w:val="fr-FR"/>
              </w:rPr>
              <w:t xml:space="preserve">genre dans les évaluations, </w:t>
            </w:r>
            <w:r w:rsidR="009441EA" w:rsidRPr="009441EA">
              <w:rPr>
                <w:rFonts w:eastAsia="Times New Roman"/>
                <w:color w:val="4472C4" w:themeColor="accent1"/>
                <w:sz w:val="20"/>
                <w:szCs w:val="20"/>
                <w:lang w:val="fr-FR"/>
              </w:rPr>
              <w:t xml:space="preserve">voir la note d’orientation de l’INEE sur le genre </w:t>
            </w:r>
            <w:r>
              <w:rPr>
                <w:rFonts w:eastAsia="Times New Roman"/>
                <w:sz w:val="20"/>
                <w:szCs w:val="20"/>
                <w:lang w:val="fr-FR"/>
              </w:rPr>
              <w:t>(2019) Stratégies d’évaluation, de suivi et dévaluation tenant compte du</w:t>
            </w:r>
            <w:r w:rsidR="009441EA" w:rsidRPr="009441EA">
              <w:rPr>
                <w:rFonts w:eastAsia="Times New Roman"/>
                <w:sz w:val="20"/>
                <w:szCs w:val="20"/>
                <w:lang w:val="fr-FR"/>
              </w:rPr>
              <w:t xml:space="preserve"> genre p. 42-47     </w:t>
            </w:r>
          </w:p>
          <w:p w14:paraId="3D71D77A" w14:textId="77777777" w:rsidR="009441EA" w:rsidRPr="009441EA" w:rsidRDefault="009441EA" w:rsidP="009441EA">
            <w:pPr>
              <w:pStyle w:val="ListParagraph"/>
              <w:spacing w:before="40"/>
              <w:rPr>
                <w:sz w:val="20"/>
                <w:szCs w:val="20"/>
                <w:lang w:val="fr-FR"/>
              </w:rPr>
            </w:pPr>
          </w:p>
          <w:p w14:paraId="218B3FD8" w14:textId="77777777" w:rsidR="003C65AB" w:rsidRPr="009441EA" w:rsidRDefault="003C65AB" w:rsidP="003C65AB">
            <w:pPr>
              <w:spacing w:before="40"/>
              <w:rPr>
                <w:sz w:val="20"/>
                <w:szCs w:val="20"/>
                <w:lang w:val="fr-FR"/>
              </w:rPr>
            </w:pPr>
          </w:p>
          <w:p w14:paraId="76BFDBF6" w14:textId="77777777" w:rsidR="000F7693" w:rsidRPr="009441EA" w:rsidRDefault="000F7693" w:rsidP="001C17D1">
            <w:pPr>
              <w:spacing w:before="40"/>
              <w:rPr>
                <w:sz w:val="20"/>
                <w:szCs w:val="20"/>
                <w:u w:val="single"/>
                <w:lang w:val="fr-FR"/>
              </w:rPr>
            </w:pPr>
          </w:p>
        </w:tc>
      </w:tr>
    </w:tbl>
    <w:p w14:paraId="23A69E41" w14:textId="77777777" w:rsidR="000F7693" w:rsidRPr="009441EA" w:rsidRDefault="000F7693" w:rsidP="0037509F">
      <w:pPr>
        <w:jc w:val="both"/>
        <w:rPr>
          <w:sz w:val="24"/>
          <w:szCs w:val="24"/>
          <w:lang w:val="fr-FR"/>
        </w:rPr>
      </w:pPr>
    </w:p>
    <w:p w14:paraId="4A11E03B" w14:textId="77777777" w:rsidR="000F7693" w:rsidRPr="009441EA" w:rsidRDefault="000F7693" w:rsidP="000F7693">
      <w:pPr>
        <w:pStyle w:val="ListParagraph"/>
        <w:jc w:val="both"/>
        <w:rPr>
          <w:sz w:val="24"/>
          <w:szCs w:val="24"/>
          <w:lang w:val="fr-FR"/>
        </w:rPr>
      </w:pPr>
    </w:p>
    <w:p w14:paraId="40544E17" w14:textId="77777777" w:rsidR="000F7693" w:rsidRPr="009441EA" w:rsidRDefault="000F7693" w:rsidP="00CD5E03">
      <w:pPr>
        <w:rPr>
          <w:b/>
          <w:lang w:val="fr-FR"/>
        </w:rPr>
      </w:pPr>
    </w:p>
    <w:sectPr w:rsidR="000F7693" w:rsidRPr="009441EA" w:rsidSect="00150202">
      <w:headerReference w:type="default" r:id="rId19"/>
      <w:pgSz w:w="15840" w:h="12240" w:orient="landscape"/>
      <w:pgMar w:top="993" w:right="1440" w:bottom="567" w:left="1440" w:header="39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70FC9" w14:textId="77777777" w:rsidR="00C0765A" w:rsidRDefault="00C0765A" w:rsidP="004D291C">
      <w:pPr>
        <w:spacing w:after="0" w:line="240" w:lineRule="auto"/>
      </w:pPr>
      <w:r>
        <w:separator/>
      </w:r>
    </w:p>
  </w:endnote>
  <w:endnote w:type="continuationSeparator" w:id="0">
    <w:p w14:paraId="4B90EBD8" w14:textId="77777777" w:rsidR="00C0765A" w:rsidRDefault="00C0765A" w:rsidP="004D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173F97" w14:textId="77777777" w:rsidR="00C0765A" w:rsidRDefault="00C0765A" w:rsidP="004D291C">
      <w:pPr>
        <w:spacing w:after="0" w:line="240" w:lineRule="auto"/>
      </w:pPr>
      <w:r>
        <w:separator/>
      </w:r>
    </w:p>
  </w:footnote>
  <w:footnote w:type="continuationSeparator" w:id="0">
    <w:p w14:paraId="4A77FA8C" w14:textId="77777777" w:rsidR="00C0765A" w:rsidRDefault="00C0765A" w:rsidP="004D2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702D7" w14:textId="5E35B9E5" w:rsidR="00027A53" w:rsidRPr="007506AA" w:rsidRDefault="00C0765A" w:rsidP="007506AA">
    <w:pPr>
      <w:jc w:val="center"/>
      <w:rPr>
        <w:color w:val="0563C1" w:themeColor="hyperlink"/>
        <w:sz w:val="28"/>
        <w:szCs w:val="28"/>
        <w:u w:val="single"/>
        <w:lang w:val="fr-FR"/>
      </w:rPr>
    </w:pPr>
    <w:hyperlink r:id="rId1" w:history="1">
      <w:r w:rsidR="007506AA">
        <w:rPr>
          <w:rStyle w:val="Hyperlink"/>
          <w:sz w:val="28"/>
          <w:szCs w:val="28"/>
          <w:lang w:val="fr-FR"/>
        </w:rPr>
        <w:t>P</w:t>
      </w:r>
      <w:r w:rsidR="007506AA" w:rsidRPr="007506AA">
        <w:rPr>
          <w:rStyle w:val="Hyperlink"/>
          <w:sz w:val="28"/>
          <w:szCs w:val="28"/>
          <w:lang w:val="fr-FR"/>
        </w:rPr>
        <w:t>ackage</w:t>
      </w:r>
    </w:hyperlink>
    <w:r w:rsidR="007506AA" w:rsidRPr="007506AA">
      <w:rPr>
        <w:rStyle w:val="Hyperlink"/>
        <w:sz w:val="28"/>
        <w:szCs w:val="28"/>
        <w:lang w:val="fr-FR"/>
      </w:rPr>
      <w:t xml:space="preserve"> </w:t>
    </w:r>
    <w:r w:rsidR="007506AA">
      <w:rPr>
        <w:sz w:val="28"/>
        <w:szCs w:val="28"/>
        <w:u w:val="single"/>
        <w:lang w:val="fr-FR"/>
      </w:rPr>
      <w:t xml:space="preserve">du </w:t>
    </w:r>
    <w:r w:rsidR="007506AA" w:rsidRPr="00D542DE">
      <w:rPr>
        <w:sz w:val="28"/>
        <w:szCs w:val="28"/>
        <w:u w:val="single"/>
        <w:lang w:val="fr-FR"/>
      </w:rPr>
      <w:t xml:space="preserve">Cadre de Collaboration CP-EiE </w:t>
    </w:r>
    <w:r w:rsidR="00027A53" w:rsidRPr="00BB34F7">
      <w:rPr>
        <w:noProof/>
        <w:sz w:val="28"/>
        <w:szCs w:val="28"/>
        <w:u w:val="single"/>
        <w:lang w:val="fr-FR" w:eastAsia="fr-FR"/>
      </w:rPr>
      <w:drawing>
        <wp:anchor distT="0" distB="0" distL="114300" distR="114300" simplePos="0" relativeHeight="251659264" behindDoc="0" locked="0" layoutInCell="1" allowOverlap="1" wp14:anchorId="49437394" wp14:editId="2E5A8C55">
          <wp:simplePos x="0" y="0"/>
          <wp:positionH relativeFrom="column">
            <wp:posOffset>8126095</wp:posOffset>
          </wp:positionH>
          <wp:positionV relativeFrom="paragraph">
            <wp:posOffset>11430</wp:posOffset>
          </wp:positionV>
          <wp:extent cx="735330" cy="266065"/>
          <wp:effectExtent l="0" t="0" r="7620" b="635"/>
          <wp:wrapNone/>
          <wp:docPr id="46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266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3A71" w:rsidRPr="00BB34F7">
      <w:rPr>
        <w:noProof/>
        <w:sz w:val="28"/>
        <w:szCs w:val="28"/>
        <w:u w:val="single"/>
        <w:lang w:val="fr-FR" w:eastAsia="fr-FR"/>
      </w:rPr>
      <w:drawing>
        <wp:anchor distT="0" distB="0" distL="114300" distR="114300" simplePos="0" relativeHeight="251660288" behindDoc="0" locked="0" layoutInCell="1" allowOverlap="1" wp14:anchorId="4AFFE83F" wp14:editId="533265DD">
          <wp:simplePos x="0" y="0"/>
          <wp:positionH relativeFrom="column">
            <wp:posOffset>7346315</wp:posOffset>
          </wp:positionH>
          <wp:positionV relativeFrom="paragraph">
            <wp:posOffset>-132715</wp:posOffset>
          </wp:positionV>
          <wp:extent cx="707390" cy="472440"/>
          <wp:effectExtent l="0" t="0" r="0" b="3810"/>
          <wp:wrapNone/>
          <wp:docPr id="4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7390" cy="472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86CA9"/>
    <w:multiLevelType w:val="hybridMultilevel"/>
    <w:tmpl w:val="8B4C6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44C4B"/>
    <w:multiLevelType w:val="hybridMultilevel"/>
    <w:tmpl w:val="1F08D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36E5E"/>
    <w:multiLevelType w:val="hybridMultilevel"/>
    <w:tmpl w:val="CD700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71096"/>
    <w:multiLevelType w:val="hybridMultilevel"/>
    <w:tmpl w:val="17127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80FEF"/>
    <w:multiLevelType w:val="multilevel"/>
    <w:tmpl w:val="C42C70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92671"/>
    <w:multiLevelType w:val="hybridMultilevel"/>
    <w:tmpl w:val="EA9299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16628"/>
    <w:multiLevelType w:val="hybridMultilevel"/>
    <w:tmpl w:val="EBA6EBA0"/>
    <w:lvl w:ilvl="0" w:tplc="9E083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43309"/>
    <w:multiLevelType w:val="hybridMultilevel"/>
    <w:tmpl w:val="AF7A7A98"/>
    <w:lvl w:ilvl="0" w:tplc="613CD93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353A4"/>
    <w:multiLevelType w:val="hybridMultilevel"/>
    <w:tmpl w:val="07F6D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50953"/>
    <w:multiLevelType w:val="hybridMultilevel"/>
    <w:tmpl w:val="6DC6AD22"/>
    <w:lvl w:ilvl="0" w:tplc="C8A263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E00CE"/>
    <w:multiLevelType w:val="hybridMultilevel"/>
    <w:tmpl w:val="171A9E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2A4514"/>
    <w:multiLevelType w:val="hybridMultilevel"/>
    <w:tmpl w:val="A642B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1"/>
  </w:num>
  <w:num w:numId="5">
    <w:abstractNumId w:val="4"/>
  </w:num>
  <w:num w:numId="6">
    <w:abstractNumId w:val="9"/>
  </w:num>
  <w:num w:numId="7">
    <w:abstractNumId w:val="7"/>
  </w:num>
  <w:num w:numId="8">
    <w:abstractNumId w:val="0"/>
  </w:num>
  <w:num w:numId="9">
    <w:abstractNumId w:val="8"/>
  </w:num>
  <w:num w:numId="10">
    <w:abstractNumId w:val="3"/>
  </w:num>
  <w:num w:numId="11">
    <w:abstractNumId w:val="10"/>
  </w:num>
  <w:num w:numId="12">
    <w:abstractNumId w:val="5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158"/>
    <w:rsid w:val="00001014"/>
    <w:rsid w:val="000034C1"/>
    <w:rsid w:val="00011D71"/>
    <w:rsid w:val="0001289B"/>
    <w:rsid w:val="00012BFE"/>
    <w:rsid w:val="0001519E"/>
    <w:rsid w:val="000151B9"/>
    <w:rsid w:val="00022B17"/>
    <w:rsid w:val="00027A53"/>
    <w:rsid w:val="00033951"/>
    <w:rsid w:val="00036301"/>
    <w:rsid w:val="000418ED"/>
    <w:rsid w:val="00041A65"/>
    <w:rsid w:val="00050997"/>
    <w:rsid w:val="000536DD"/>
    <w:rsid w:val="00053970"/>
    <w:rsid w:val="00056FDA"/>
    <w:rsid w:val="00061E8A"/>
    <w:rsid w:val="00062153"/>
    <w:rsid w:val="00062C1C"/>
    <w:rsid w:val="0006684F"/>
    <w:rsid w:val="00067196"/>
    <w:rsid w:val="000673F8"/>
    <w:rsid w:val="000818C0"/>
    <w:rsid w:val="00082011"/>
    <w:rsid w:val="000832F2"/>
    <w:rsid w:val="00087B42"/>
    <w:rsid w:val="000A1FD1"/>
    <w:rsid w:val="000A402D"/>
    <w:rsid w:val="000A5B51"/>
    <w:rsid w:val="000A7EA9"/>
    <w:rsid w:val="000B161C"/>
    <w:rsid w:val="000B47A3"/>
    <w:rsid w:val="000C6336"/>
    <w:rsid w:val="000C681F"/>
    <w:rsid w:val="000C7076"/>
    <w:rsid w:val="000D18AF"/>
    <w:rsid w:val="000D3CB3"/>
    <w:rsid w:val="000D459D"/>
    <w:rsid w:val="000D5315"/>
    <w:rsid w:val="000D677B"/>
    <w:rsid w:val="000D7537"/>
    <w:rsid w:val="000E2813"/>
    <w:rsid w:val="000E73B2"/>
    <w:rsid w:val="000F0513"/>
    <w:rsid w:val="000F1BD0"/>
    <w:rsid w:val="000F44ED"/>
    <w:rsid w:val="000F7693"/>
    <w:rsid w:val="00102093"/>
    <w:rsid w:val="00106158"/>
    <w:rsid w:val="001116BE"/>
    <w:rsid w:val="00113195"/>
    <w:rsid w:val="00114737"/>
    <w:rsid w:val="00122DF5"/>
    <w:rsid w:val="00132128"/>
    <w:rsid w:val="00134E19"/>
    <w:rsid w:val="00135FBE"/>
    <w:rsid w:val="00141530"/>
    <w:rsid w:val="0014219F"/>
    <w:rsid w:val="00150202"/>
    <w:rsid w:val="001505EA"/>
    <w:rsid w:val="0016174F"/>
    <w:rsid w:val="00164D0C"/>
    <w:rsid w:val="001671A4"/>
    <w:rsid w:val="001711FB"/>
    <w:rsid w:val="00173975"/>
    <w:rsid w:val="00175636"/>
    <w:rsid w:val="001815CE"/>
    <w:rsid w:val="00184224"/>
    <w:rsid w:val="00190D2B"/>
    <w:rsid w:val="00192A64"/>
    <w:rsid w:val="001A0897"/>
    <w:rsid w:val="001A3DCB"/>
    <w:rsid w:val="001A500E"/>
    <w:rsid w:val="001A79B2"/>
    <w:rsid w:val="001B0597"/>
    <w:rsid w:val="001B07FF"/>
    <w:rsid w:val="001C03BE"/>
    <w:rsid w:val="001C17D1"/>
    <w:rsid w:val="001C3B6E"/>
    <w:rsid w:val="001C4EDD"/>
    <w:rsid w:val="001C638F"/>
    <w:rsid w:val="001C64EF"/>
    <w:rsid w:val="001D055B"/>
    <w:rsid w:val="001D5415"/>
    <w:rsid w:val="001D6E3D"/>
    <w:rsid w:val="001D718C"/>
    <w:rsid w:val="001E0905"/>
    <w:rsid w:val="001E18E4"/>
    <w:rsid w:val="001E23A7"/>
    <w:rsid w:val="001E752F"/>
    <w:rsid w:val="001E7FF2"/>
    <w:rsid w:val="001F4C71"/>
    <w:rsid w:val="00202BB4"/>
    <w:rsid w:val="00206B18"/>
    <w:rsid w:val="002107D4"/>
    <w:rsid w:val="00211DB4"/>
    <w:rsid w:val="00215ABA"/>
    <w:rsid w:val="00216061"/>
    <w:rsid w:val="002218C1"/>
    <w:rsid w:val="00223E3E"/>
    <w:rsid w:val="00224356"/>
    <w:rsid w:val="00224850"/>
    <w:rsid w:val="002346AD"/>
    <w:rsid w:val="002414C2"/>
    <w:rsid w:val="00244BE9"/>
    <w:rsid w:val="00247847"/>
    <w:rsid w:val="00255719"/>
    <w:rsid w:val="0025671B"/>
    <w:rsid w:val="00260D50"/>
    <w:rsid w:val="002634B4"/>
    <w:rsid w:val="00264613"/>
    <w:rsid w:val="00270B9F"/>
    <w:rsid w:val="00273121"/>
    <w:rsid w:val="00274D92"/>
    <w:rsid w:val="00285546"/>
    <w:rsid w:val="00285EB5"/>
    <w:rsid w:val="002862AA"/>
    <w:rsid w:val="00286734"/>
    <w:rsid w:val="0028785D"/>
    <w:rsid w:val="00292F07"/>
    <w:rsid w:val="002950E2"/>
    <w:rsid w:val="002A1919"/>
    <w:rsid w:val="002A1AEF"/>
    <w:rsid w:val="002A3296"/>
    <w:rsid w:val="002A41B2"/>
    <w:rsid w:val="002A49A2"/>
    <w:rsid w:val="002A60C7"/>
    <w:rsid w:val="002B00A0"/>
    <w:rsid w:val="002B1367"/>
    <w:rsid w:val="002C008E"/>
    <w:rsid w:val="002C16E2"/>
    <w:rsid w:val="002C237F"/>
    <w:rsid w:val="002C321F"/>
    <w:rsid w:val="002C5F59"/>
    <w:rsid w:val="002C6D9D"/>
    <w:rsid w:val="002D1D87"/>
    <w:rsid w:val="002D5171"/>
    <w:rsid w:val="002E38A0"/>
    <w:rsid w:val="002F056D"/>
    <w:rsid w:val="002F0B5E"/>
    <w:rsid w:val="002F0F3E"/>
    <w:rsid w:val="002F651F"/>
    <w:rsid w:val="003003DC"/>
    <w:rsid w:val="00303371"/>
    <w:rsid w:val="003040F4"/>
    <w:rsid w:val="00321B19"/>
    <w:rsid w:val="00323FF9"/>
    <w:rsid w:val="00324300"/>
    <w:rsid w:val="00324F1B"/>
    <w:rsid w:val="00335FBF"/>
    <w:rsid w:val="00337728"/>
    <w:rsid w:val="00340288"/>
    <w:rsid w:val="00342D7E"/>
    <w:rsid w:val="0034437D"/>
    <w:rsid w:val="0034666C"/>
    <w:rsid w:val="00350F5F"/>
    <w:rsid w:val="00355834"/>
    <w:rsid w:val="00372DEB"/>
    <w:rsid w:val="0037509F"/>
    <w:rsid w:val="003800E2"/>
    <w:rsid w:val="003806EF"/>
    <w:rsid w:val="00380DD2"/>
    <w:rsid w:val="0038181B"/>
    <w:rsid w:val="00382596"/>
    <w:rsid w:val="00383392"/>
    <w:rsid w:val="00383CEC"/>
    <w:rsid w:val="00393660"/>
    <w:rsid w:val="003938B5"/>
    <w:rsid w:val="003A5AA5"/>
    <w:rsid w:val="003B2AF3"/>
    <w:rsid w:val="003B6381"/>
    <w:rsid w:val="003B7079"/>
    <w:rsid w:val="003C094B"/>
    <w:rsid w:val="003C65AB"/>
    <w:rsid w:val="003C77EC"/>
    <w:rsid w:val="003D5295"/>
    <w:rsid w:val="003D5400"/>
    <w:rsid w:val="003E1CED"/>
    <w:rsid w:val="003E6625"/>
    <w:rsid w:val="003F2478"/>
    <w:rsid w:val="003F2F47"/>
    <w:rsid w:val="003F5E97"/>
    <w:rsid w:val="0040071B"/>
    <w:rsid w:val="0040124B"/>
    <w:rsid w:val="0040225F"/>
    <w:rsid w:val="004123F5"/>
    <w:rsid w:val="00412CD7"/>
    <w:rsid w:val="00414ADA"/>
    <w:rsid w:val="00422F33"/>
    <w:rsid w:val="004259DB"/>
    <w:rsid w:val="00426D43"/>
    <w:rsid w:val="00431084"/>
    <w:rsid w:val="004332F4"/>
    <w:rsid w:val="00435EEA"/>
    <w:rsid w:val="0043631D"/>
    <w:rsid w:val="00445040"/>
    <w:rsid w:val="00445746"/>
    <w:rsid w:val="00446BF3"/>
    <w:rsid w:val="004509C3"/>
    <w:rsid w:val="00471001"/>
    <w:rsid w:val="00472E55"/>
    <w:rsid w:val="00477380"/>
    <w:rsid w:val="00482F57"/>
    <w:rsid w:val="004879D9"/>
    <w:rsid w:val="00490550"/>
    <w:rsid w:val="004A0BC5"/>
    <w:rsid w:val="004A757C"/>
    <w:rsid w:val="004B06EC"/>
    <w:rsid w:val="004B371A"/>
    <w:rsid w:val="004C0F5D"/>
    <w:rsid w:val="004C2B22"/>
    <w:rsid w:val="004C642E"/>
    <w:rsid w:val="004C740D"/>
    <w:rsid w:val="004C7A24"/>
    <w:rsid w:val="004D291C"/>
    <w:rsid w:val="004D3424"/>
    <w:rsid w:val="004D3EB2"/>
    <w:rsid w:val="004D406B"/>
    <w:rsid w:val="004D47FF"/>
    <w:rsid w:val="004D69A2"/>
    <w:rsid w:val="004E1B6E"/>
    <w:rsid w:val="004F0211"/>
    <w:rsid w:val="004F5C2E"/>
    <w:rsid w:val="0050222D"/>
    <w:rsid w:val="0050525A"/>
    <w:rsid w:val="00505DDE"/>
    <w:rsid w:val="00516DF4"/>
    <w:rsid w:val="005178D8"/>
    <w:rsid w:val="00523CAA"/>
    <w:rsid w:val="0052690D"/>
    <w:rsid w:val="00527DB5"/>
    <w:rsid w:val="00532059"/>
    <w:rsid w:val="00543561"/>
    <w:rsid w:val="00543F93"/>
    <w:rsid w:val="00546C3A"/>
    <w:rsid w:val="00551731"/>
    <w:rsid w:val="00554EAC"/>
    <w:rsid w:val="00561F4A"/>
    <w:rsid w:val="00582913"/>
    <w:rsid w:val="00582ED7"/>
    <w:rsid w:val="005865BF"/>
    <w:rsid w:val="0059003F"/>
    <w:rsid w:val="0059094F"/>
    <w:rsid w:val="005946FD"/>
    <w:rsid w:val="00595E99"/>
    <w:rsid w:val="0059724D"/>
    <w:rsid w:val="005A05CD"/>
    <w:rsid w:val="005A2FE4"/>
    <w:rsid w:val="005B34CE"/>
    <w:rsid w:val="005B55AF"/>
    <w:rsid w:val="005B7F3A"/>
    <w:rsid w:val="005D6B37"/>
    <w:rsid w:val="005D7227"/>
    <w:rsid w:val="005E04B4"/>
    <w:rsid w:val="005E09B2"/>
    <w:rsid w:val="005E195A"/>
    <w:rsid w:val="005E31CF"/>
    <w:rsid w:val="005E63D3"/>
    <w:rsid w:val="005E67DB"/>
    <w:rsid w:val="005F33BA"/>
    <w:rsid w:val="005F74BA"/>
    <w:rsid w:val="005F74CF"/>
    <w:rsid w:val="006052DE"/>
    <w:rsid w:val="006071F7"/>
    <w:rsid w:val="00611F56"/>
    <w:rsid w:val="00621488"/>
    <w:rsid w:val="00621E3F"/>
    <w:rsid w:val="00624B6F"/>
    <w:rsid w:val="00625624"/>
    <w:rsid w:val="00626408"/>
    <w:rsid w:val="006328B5"/>
    <w:rsid w:val="00636382"/>
    <w:rsid w:val="00637199"/>
    <w:rsid w:val="00640ACE"/>
    <w:rsid w:val="0064119E"/>
    <w:rsid w:val="00641236"/>
    <w:rsid w:val="00641380"/>
    <w:rsid w:val="00646F54"/>
    <w:rsid w:val="006516CC"/>
    <w:rsid w:val="00651C60"/>
    <w:rsid w:val="00652EB7"/>
    <w:rsid w:val="00657C4E"/>
    <w:rsid w:val="00666303"/>
    <w:rsid w:val="0067419C"/>
    <w:rsid w:val="0067554B"/>
    <w:rsid w:val="00680B1B"/>
    <w:rsid w:val="0068446F"/>
    <w:rsid w:val="00687737"/>
    <w:rsid w:val="00687C6D"/>
    <w:rsid w:val="006926BE"/>
    <w:rsid w:val="0069513F"/>
    <w:rsid w:val="00695C0F"/>
    <w:rsid w:val="006A0B0D"/>
    <w:rsid w:val="006A3B2D"/>
    <w:rsid w:val="006B04E3"/>
    <w:rsid w:val="006B3F8D"/>
    <w:rsid w:val="006B74FC"/>
    <w:rsid w:val="006C234A"/>
    <w:rsid w:val="006D2EEA"/>
    <w:rsid w:val="006D341B"/>
    <w:rsid w:val="006E1179"/>
    <w:rsid w:val="006E1F48"/>
    <w:rsid w:val="006E4032"/>
    <w:rsid w:val="006E71BC"/>
    <w:rsid w:val="006F3929"/>
    <w:rsid w:val="00700986"/>
    <w:rsid w:val="00701291"/>
    <w:rsid w:val="00705291"/>
    <w:rsid w:val="00705B23"/>
    <w:rsid w:val="007076E7"/>
    <w:rsid w:val="00715B06"/>
    <w:rsid w:val="007170A6"/>
    <w:rsid w:val="00720817"/>
    <w:rsid w:val="007236C3"/>
    <w:rsid w:val="0072598F"/>
    <w:rsid w:val="00726FCA"/>
    <w:rsid w:val="007331EE"/>
    <w:rsid w:val="00744B91"/>
    <w:rsid w:val="00745B7E"/>
    <w:rsid w:val="00746ECB"/>
    <w:rsid w:val="00747885"/>
    <w:rsid w:val="007506AA"/>
    <w:rsid w:val="0076300F"/>
    <w:rsid w:val="00763AB5"/>
    <w:rsid w:val="007647D9"/>
    <w:rsid w:val="007660A7"/>
    <w:rsid w:val="0076748A"/>
    <w:rsid w:val="00770AC4"/>
    <w:rsid w:val="00784FCB"/>
    <w:rsid w:val="00792D15"/>
    <w:rsid w:val="00795BD7"/>
    <w:rsid w:val="007A01AE"/>
    <w:rsid w:val="007A2463"/>
    <w:rsid w:val="007A3717"/>
    <w:rsid w:val="007B2120"/>
    <w:rsid w:val="007B3380"/>
    <w:rsid w:val="007B483E"/>
    <w:rsid w:val="007C49AE"/>
    <w:rsid w:val="007C5C9C"/>
    <w:rsid w:val="007E215C"/>
    <w:rsid w:val="007E7FAD"/>
    <w:rsid w:val="007F0494"/>
    <w:rsid w:val="00804291"/>
    <w:rsid w:val="0080453A"/>
    <w:rsid w:val="00805B7F"/>
    <w:rsid w:val="008079FE"/>
    <w:rsid w:val="008114E3"/>
    <w:rsid w:val="00817C1E"/>
    <w:rsid w:val="0082194F"/>
    <w:rsid w:val="00834373"/>
    <w:rsid w:val="00835CF0"/>
    <w:rsid w:val="00836307"/>
    <w:rsid w:val="00836822"/>
    <w:rsid w:val="0084593E"/>
    <w:rsid w:val="0085165F"/>
    <w:rsid w:val="0086095D"/>
    <w:rsid w:val="00861788"/>
    <w:rsid w:val="00866D81"/>
    <w:rsid w:val="00870BF1"/>
    <w:rsid w:val="0087725E"/>
    <w:rsid w:val="008828EB"/>
    <w:rsid w:val="008848F7"/>
    <w:rsid w:val="008978D3"/>
    <w:rsid w:val="008A39B4"/>
    <w:rsid w:val="008A4FDE"/>
    <w:rsid w:val="008A52AB"/>
    <w:rsid w:val="008B33A8"/>
    <w:rsid w:val="008B52AE"/>
    <w:rsid w:val="008C2E4B"/>
    <w:rsid w:val="008D3998"/>
    <w:rsid w:val="008D46B8"/>
    <w:rsid w:val="008D5984"/>
    <w:rsid w:val="008D7384"/>
    <w:rsid w:val="008E0417"/>
    <w:rsid w:val="008E7343"/>
    <w:rsid w:val="008F1001"/>
    <w:rsid w:val="008F16D5"/>
    <w:rsid w:val="00900699"/>
    <w:rsid w:val="00903262"/>
    <w:rsid w:val="00903368"/>
    <w:rsid w:val="00905C7E"/>
    <w:rsid w:val="009063A8"/>
    <w:rsid w:val="0090749B"/>
    <w:rsid w:val="00911016"/>
    <w:rsid w:val="009142EB"/>
    <w:rsid w:val="00920741"/>
    <w:rsid w:val="0092263E"/>
    <w:rsid w:val="00926FC2"/>
    <w:rsid w:val="00932773"/>
    <w:rsid w:val="00934212"/>
    <w:rsid w:val="00937122"/>
    <w:rsid w:val="009414BA"/>
    <w:rsid w:val="009417EF"/>
    <w:rsid w:val="00942936"/>
    <w:rsid w:val="009441EA"/>
    <w:rsid w:val="0094504A"/>
    <w:rsid w:val="009525A7"/>
    <w:rsid w:val="009578F1"/>
    <w:rsid w:val="009635F7"/>
    <w:rsid w:val="00966052"/>
    <w:rsid w:val="00966973"/>
    <w:rsid w:val="009779B4"/>
    <w:rsid w:val="00981CD9"/>
    <w:rsid w:val="00983A9B"/>
    <w:rsid w:val="00992A75"/>
    <w:rsid w:val="0099365F"/>
    <w:rsid w:val="009A5E0F"/>
    <w:rsid w:val="009A64CA"/>
    <w:rsid w:val="009B3B33"/>
    <w:rsid w:val="009C1D0A"/>
    <w:rsid w:val="009C3255"/>
    <w:rsid w:val="009C4D1B"/>
    <w:rsid w:val="009C58C7"/>
    <w:rsid w:val="009C7903"/>
    <w:rsid w:val="009D2CCC"/>
    <w:rsid w:val="009D4FCA"/>
    <w:rsid w:val="009D7A23"/>
    <w:rsid w:val="009E25F8"/>
    <w:rsid w:val="009E34E8"/>
    <w:rsid w:val="009E4483"/>
    <w:rsid w:val="009E62ED"/>
    <w:rsid w:val="009F1D87"/>
    <w:rsid w:val="009F2EA0"/>
    <w:rsid w:val="009F498C"/>
    <w:rsid w:val="009F5304"/>
    <w:rsid w:val="009F60BB"/>
    <w:rsid w:val="00A022D9"/>
    <w:rsid w:val="00A070B7"/>
    <w:rsid w:val="00A21626"/>
    <w:rsid w:val="00A241A2"/>
    <w:rsid w:val="00A26CC0"/>
    <w:rsid w:val="00A32227"/>
    <w:rsid w:val="00A340A7"/>
    <w:rsid w:val="00A347E7"/>
    <w:rsid w:val="00A34C6F"/>
    <w:rsid w:val="00A35059"/>
    <w:rsid w:val="00A42F74"/>
    <w:rsid w:val="00A455D1"/>
    <w:rsid w:val="00A4583A"/>
    <w:rsid w:val="00A52FE0"/>
    <w:rsid w:val="00A5481F"/>
    <w:rsid w:val="00A560FA"/>
    <w:rsid w:val="00A568A6"/>
    <w:rsid w:val="00A605BB"/>
    <w:rsid w:val="00A62166"/>
    <w:rsid w:val="00A64477"/>
    <w:rsid w:val="00A700FC"/>
    <w:rsid w:val="00A702F0"/>
    <w:rsid w:val="00A72DED"/>
    <w:rsid w:val="00A763EC"/>
    <w:rsid w:val="00A827B8"/>
    <w:rsid w:val="00A8443E"/>
    <w:rsid w:val="00A86B41"/>
    <w:rsid w:val="00A87968"/>
    <w:rsid w:val="00A92485"/>
    <w:rsid w:val="00A92FB4"/>
    <w:rsid w:val="00AA0CFB"/>
    <w:rsid w:val="00AA3470"/>
    <w:rsid w:val="00AA784E"/>
    <w:rsid w:val="00AA7FBE"/>
    <w:rsid w:val="00AB17AC"/>
    <w:rsid w:val="00AB4F5E"/>
    <w:rsid w:val="00AC2BBB"/>
    <w:rsid w:val="00AC41F4"/>
    <w:rsid w:val="00AC5113"/>
    <w:rsid w:val="00AD32AE"/>
    <w:rsid w:val="00AD503E"/>
    <w:rsid w:val="00AD6080"/>
    <w:rsid w:val="00AD63CB"/>
    <w:rsid w:val="00AE1389"/>
    <w:rsid w:val="00AE3872"/>
    <w:rsid w:val="00AE465D"/>
    <w:rsid w:val="00AE68C0"/>
    <w:rsid w:val="00AE6D29"/>
    <w:rsid w:val="00AF0686"/>
    <w:rsid w:val="00AF2A11"/>
    <w:rsid w:val="00AF787A"/>
    <w:rsid w:val="00AF7C13"/>
    <w:rsid w:val="00B01CAA"/>
    <w:rsid w:val="00B02543"/>
    <w:rsid w:val="00B062B6"/>
    <w:rsid w:val="00B110B2"/>
    <w:rsid w:val="00B14C29"/>
    <w:rsid w:val="00B15FFC"/>
    <w:rsid w:val="00B1757D"/>
    <w:rsid w:val="00B21BE3"/>
    <w:rsid w:val="00B23A71"/>
    <w:rsid w:val="00B277EE"/>
    <w:rsid w:val="00B3721D"/>
    <w:rsid w:val="00B37F94"/>
    <w:rsid w:val="00B47B47"/>
    <w:rsid w:val="00B528FA"/>
    <w:rsid w:val="00B532ED"/>
    <w:rsid w:val="00B533B5"/>
    <w:rsid w:val="00B5756E"/>
    <w:rsid w:val="00B610F1"/>
    <w:rsid w:val="00B642A7"/>
    <w:rsid w:val="00B6598B"/>
    <w:rsid w:val="00B67370"/>
    <w:rsid w:val="00B72726"/>
    <w:rsid w:val="00B74790"/>
    <w:rsid w:val="00B75805"/>
    <w:rsid w:val="00B76F99"/>
    <w:rsid w:val="00B828DA"/>
    <w:rsid w:val="00B91D90"/>
    <w:rsid w:val="00B91E6E"/>
    <w:rsid w:val="00B94A43"/>
    <w:rsid w:val="00B95ADA"/>
    <w:rsid w:val="00BA0D20"/>
    <w:rsid w:val="00BA1177"/>
    <w:rsid w:val="00BA5F3F"/>
    <w:rsid w:val="00BB2951"/>
    <w:rsid w:val="00BB45F8"/>
    <w:rsid w:val="00BB5487"/>
    <w:rsid w:val="00BC0A5B"/>
    <w:rsid w:val="00BC2258"/>
    <w:rsid w:val="00BC32A6"/>
    <w:rsid w:val="00BC34B7"/>
    <w:rsid w:val="00BC4444"/>
    <w:rsid w:val="00BC4A2A"/>
    <w:rsid w:val="00BD5800"/>
    <w:rsid w:val="00BD7869"/>
    <w:rsid w:val="00BD79A4"/>
    <w:rsid w:val="00BE1135"/>
    <w:rsid w:val="00BE53A9"/>
    <w:rsid w:val="00BE7772"/>
    <w:rsid w:val="00BF4649"/>
    <w:rsid w:val="00C019C6"/>
    <w:rsid w:val="00C04C2E"/>
    <w:rsid w:val="00C05D6A"/>
    <w:rsid w:val="00C05DFF"/>
    <w:rsid w:val="00C0765A"/>
    <w:rsid w:val="00C2164C"/>
    <w:rsid w:val="00C32093"/>
    <w:rsid w:val="00C3403C"/>
    <w:rsid w:val="00C37500"/>
    <w:rsid w:val="00C465B7"/>
    <w:rsid w:val="00C4710F"/>
    <w:rsid w:val="00C536E9"/>
    <w:rsid w:val="00C60B90"/>
    <w:rsid w:val="00C62304"/>
    <w:rsid w:val="00C62C6A"/>
    <w:rsid w:val="00C62CE1"/>
    <w:rsid w:val="00C64218"/>
    <w:rsid w:val="00C64C13"/>
    <w:rsid w:val="00C66E52"/>
    <w:rsid w:val="00C67218"/>
    <w:rsid w:val="00C72CEA"/>
    <w:rsid w:val="00C80FE9"/>
    <w:rsid w:val="00C8679F"/>
    <w:rsid w:val="00C87A95"/>
    <w:rsid w:val="00C91FDE"/>
    <w:rsid w:val="00C930E7"/>
    <w:rsid w:val="00CA02A9"/>
    <w:rsid w:val="00CA7ED8"/>
    <w:rsid w:val="00CB7B7D"/>
    <w:rsid w:val="00CC2454"/>
    <w:rsid w:val="00CC2DC5"/>
    <w:rsid w:val="00CC3762"/>
    <w:rsid w:val="00CC4A06"/>
    <w:rsid w:val="00CD0C7A"/>
    <w:rsid w:val="00CD5E03"/>
    <w:rsid w:val="00CD6D7E"/>
    <w:rsid w:val="00CE1BA0"/>
    <w:rsid w:val="00CF1E80"/>
    <w:rsid w:val="00CF510E"/>
    <w:rsid w:val="00CF5A8D"/>
    <w:rsid w:val="00CF5A97"/>
    <w:rsid w:val="00CF65CF"/>
    <w:rsid w:val="00D04051"/>
    <w:rsid w:val="00D04DF9"/>
    <w:rsid w:val="00D07C63"/>
    <w:rsid w:val="00D11B9B"/>
    <w:rsid w:val="00D22E82"/>
    <w:rsid w:val="00D24B2A"/>
    <w:rsid w:val="00D2746E"/>
    <w:rsid w:val="00D352C7"/>
    <w:rsid w:val="00D402E5"/>
    <w:rsid w:val="00D405B4"/>
    <w:rsid w:val="00D42C01"/>
    <w:rsid w:val="00D51B8A"/>
    <w:rsid w:val="00D520FB"/>
    <w:rsid w:val="00D549C9"/>
    <w:rsid w:val="00D56AEB"/>
    <w:rsid w:val="00D61CB9"/>
    <w:rsid w:val="00D6480D"/>
    <w:rsid w:val="00D65F9A"/>
    <w:rsid w:val="00D705E1"/>
    <w:rsid w:val="00D70AED"/>
    <w:rsid w:val="00D72E6A"/>
    <w:rsid w:val="00D740D5"/>
    <w:rsid w:val="00D8182F"/>
    <w:rsid w:val="00D827A3"/>
    <w:rsid w:val="00D900C5"/>
    <w:rsid w:val="00D91701"/>
    <w:rsid w:val="00D918E0"/>
    <w:rsid w:val="00D93679"/>
    <w:rsid w:val="00D978E0"/>
    <w:rsid w:val="00D97D4E"/>
    <w:rsid w:val="00DA085C"/>
    <w:rsid w:val="00DA2906"/>
    <w:rsid w:val="00DB2A4A"/>
    <w:rsid w:val="00DC01A2"/>
    <w:rsid w:val="00DC0DD1"/>
    <w:rsid w:val="00DC18BF"/>
    <w:rsid w:val="00DC2876"/>
    <w:rsid w:val="00DC63BE"/>
    <w:rsid w:val="00DC667C"/>
    <w:rsid w:val="00DC76C2"/>
    <w:rsid w:val="00DD19E5"/>
    <w:rsid w:val="00DD3D29"/>
    <w:rsid w:val="00DD4DB8"/>
    <w:rsid w:val="00DD723C"/>
    <w:rsid w:val="00DE4162"/>
    <w:rsid w:val="00DE6FBD"/>
    <w:rsid w:val="00DF1AFE"/>
    <w:rsid w:val="00E0743E"/>
    <w:rsid w:val="00E07745"/>
    <w:rsid w:val="00E07F4B"/>
    <w:rsid w:val="00E11243"/>
    <w:rsid w:val="00E1493A"/>
    <w:rsid w:val="00E16923"/>
    <w:rsid w:val="00E2064B"/>
    <w:rsid w:val="00E210F8"/>
    <w:rsid w:val="00E223F9"/>
    <w:rsid w:val="00E24017"/>
    <w:rsid w:val="00E25FA3"/>
    <w:rsid w:val="00E31158"/>
    <w:rsid w:val="00E32C29"/>
    <w:rsid w:val="00E35BC4"/>
    <w:rsid w:val="00E37EEB"/>
    <w:rsid w:val="00E401DF"/>
    <w:rsid w:val="00E42D48"/>
    <w:rsid w:val="00E42F09"/>
    <w:rsid w:val="00E4349C"/>
    <w:rsid w:val="00E43A5A"/>
    <w:rsid w:val="00E55321"/>
    <w:rsid w:val="00E61E45"/>
    <w:rsid w:val="00E63CB5"/>
    <w:rsid w:val="00E640BA"/>
    <w:rsid w:val="00E649EA"/>
    <w:rsid w:val="00E70F9B"/>
    <w:rsid w:val="00E71C7B"/>
    <w:rsid w:val="00E7364D"/>
    <w:rsid w:val="00E7638E"/>
    <w:rsid w:val="00E7654C"/>
    <w:rsid w:val="00E8107A"/>
    <w:rsid w:val="00E8251E"/>
    <w:rsid w:val="00E84889"/>
    <w:rsid w:val="00E877FD"/>
    <w:rsid w:val="00E91A21"/>
    <w:rsid w:val="00E91ADF"/>
    <w:rsid w:val="00E928AF"/>
    <w:rsid w:val="00E93E7A"/>
    <w:rsid w:val="00E9634C"/>
    <w:rsid w:val="00EA2818"/>
    <w:rsid w:val="00EA39E3"/>
    <w:rsid w:val="00EB151D"/>
    <w:rsid w:val="00EB3AC1"/>
    <w:rsid w:val="00EC0053"/>
    <w:rsid w:val="00EC7153"/>
    <w:rsid w:val="00EF09DB"/>
    <w:rsid w:val="00EF2887"/>
    <w:rsid w:val="00EF3540"/>
    <w:rsid w:val="00F02EAA"/>
    <w:rsid w:val="00F06260"/>
    <w:rsid w:val="00F06321"/>
    <w:rsid w:val="00F12014"/>
    <w:rsid w:val="00F14B75"/>
    <w:rsid w:val="00F161F4"/>
    <w:rsid w:val="00F16F23"/>
    <w:rsid w:val="00F228EA"/>
    <w:rsid w:val="00F2375B"/>
    <w:rsid w:val="00F2689B"/>
    <w:rsid w:val="00F302D4"/>
    <w:rsid w:val="00F3059B"/>
    <w:rsid w:val="00F32AC3"/>
    <w:rsid w:val="00F37F62"/>
    <w:rsid w:val="00F60E57"/>
    <w:rsid w:val="00F6376F"/>
    <w:rsid w:val="00F64AAB"/>
    <w:rsid w:val="00F67BC5"/>
    <w:rsid w:val="00F70BF3"/>
    <w:rsid w:val="00F7176C"/>
    <w:rsid w:val="00F7185B"/>
    <w:rsid w:val="00F75189"/>
    <w:rsid w:val="00F80611"/>
    <w:rsid w:val="00F84055"/>
    <w:rsid w:val="00F849D4"/>
    <w:rsid w:val="00F87643"/>
    <w:rsid w:val="00F87CC0"/>
    <w:rsid w:val="00FA1DCA"/>
    <w:rsid w:val="00FA1E34"/>
    <w:rsid w:val="00FA36C1"/>
    <w:rsid w:val="00FB0C08"/>
    <w:rsid w:val="00FB28E2"/>
    <w:rsid w:val="00FB4CC1"/>
    <w:rsid w:val="00FC3641"/>
    <w:rsid w:val="00FC5DE0"/>
    <w:rsid w:val="00FC6A10"/>
    <w:rsid w:val="00FD5A1F"/>
    <w:rsid w:val="00FD7DBF"/>
    <w:rsid w:val="00FE45E0"/>
    <w:rsid w:val="00FE7AA6"/>
    <w:rsid w:val="00FF2374"/>
    <w:rsid w:val="00FF3497"/>
    <w:rsid w:val="00FF5D1F"/>
    <w:rsid w:val="00FF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FF9E0F"/>
  <w15:docId w15:val="{8E6873FB-499D-49CA-959C-3F1311CF1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B0D"/>
    <w:pPr>
      <w:ind w:left="720"/>
      <w:contextualSpacing/>
    </w:pPr>
  </w:style>
  <w:style w:type="table" w:styleId="TableGrid">
    <w:name w:val="Table Grid"/>
    <w:basedOn w:val="TableNormal"/>
    <w:uiPriority w:val="39"/>
    <w:rsid w:val="00286734"/>
    <w:pPr>
      <w:spacing w:after="0" w:line="240" w:lineRule="auto"/>
    </w:pPr>
    <w:rPr>
      <w:sz w:val="24"/>
      <w:szCs w:val="24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76E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A79B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1A79B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79B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79B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79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9B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9B2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595E99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rsid w:val="004D291C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D291C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4D291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0101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table" w:styleId="LightList-Accent5">
    <w:name w:val="Light List Accent 5"/>
    <w:basedOn w:val="TableNormal"/>
    <w:uiPriority w:val="61"/>
    <w:rsid w:val="003C094B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8B52AE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43631D"/>
  </w:style>
  <w:style w:type="table" w:customStyle="1" w:styleId="TableGrid1">
    <w:name w:val="Table Grid1"/>
    <w:basedOn w:val="TableNormal"/>
    <w:next w:val="TableGrid"/>
    <w:uiPriority w:val="59"/>
    <w:rsid w:val="00A56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11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135"/>
  </w:style>
  <w:style w:type="paragraph" w:styleId="Footer">
    <w:name w:val="footer"/>
    <w:basedOn w:val="Normal"/>
    <w:link w:val="FooterChar"/>
    <w:uiPriority w:val="99"/>
    <w:unhideWhenUsed/>
    <w:rsid w:val="00BE11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135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62CE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A39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496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5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31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66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71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7953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72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87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99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9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66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3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6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395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6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29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45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6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2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8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47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793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47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81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998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58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4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1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988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67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0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40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47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5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77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89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63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04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89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51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2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74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14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62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2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626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64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86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87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62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36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15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57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72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860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61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41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07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ducationcluster.box.com/s/tazragblo6aii0as1owhej4jwcehtf1d" TargetMode="External"/><Relationship Id="rId18" Type="http://schemas.openxmlformats.org/officeDocument/2006/relationships/hyperlink" Target="https://educationcluster.box.com/s/9pc4n3vpy2aq57vkliqnnecp3ckcf11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ducationcluster.box.com/s/5n7gdy5rpatvpopafw543o303egawaa0" TargetMode="External"/><Relationship Id="rId17" Type="http://schemas.openxmlformats.org/officeDocument/2006/relationships/hyperlink" Target="https://educationcluster.box.com/s/fqkj3dgzb33aphipri1hb31jng6jsmr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ducationcluster.box.com/s/9pc4n3vpy2aq57vkliqnnecp3ckcf11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cationcluster.box.com/s/0unpymq59zrdeak8150ee4ew1teciyb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cationcluster.box.com/s/9pc4n3vpy2aq57vkliqnnecp3ckcf111" TargetMode="External"/><Relationship Id="rId10" Type="http://schemas.openxmlformats.org/officeDocument/2006/relationships/hyperlink" Target="mailto:help.edcluster@humanitarianresponse.info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cluster.box.com/s/brpbasj75341ph0raxjpq4hnceu0azrg" TargetMode="External"/><Relationship Id="rId14" Type="http://schemas.openxmlformats.org/officeDocument/2006/relationships/hyperlink" Target="https://educationcluster.box.com/s/9pc4n3vpy2aq57vkliqnnecp3ckcf111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hyperlink" Target="https://educationcluster.box.com/s/n5m5g3gjt7r1xo0qpk9utr70wu81cof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A64B4A-1257-4838-A67A-14971FA17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1100</Words>
  <Characters>6271</Characters>
  <Application>Microsoft Office Word</Application>
  <DocSecurity>0</DocSecurity>
  <Lines>52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 AoR</dc:creator>
  <cp:keywords/>
  <dc:description/>
  <cp:lastModifiedBy>Elyse Leonard</cp:lastModifiedBy>
  <cp:revision>28</cp:revision>
  <cp:lastPrinted>2020-06-19T13:55:00Z</cp:lastPrinted>
  <dcterms:created xsi:type="dcterms:W3CDTF">2021-06-23T12:32:00Z</dcterms:created>
  <dcterms:modified xsi:type="dcterms:W3CDTF">2021-08-25T09:15:00Z</dcterms:modified>
</cp:coreProperties>
</file>